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E9C54" w14:textId="13CE1B93" w:rsidR="00D43582" w:rsidRPr="00E276B3" w:rsidRDefault="005B12A9" w:rsidP="00366447">
      <w:pPr>
        <w:spacing w:after="120"/>
        <w:rPr>
          <w:b/>
          <w:sz w:val="28"/>
        </w:rPr>
      </w:pPr>
      <w:bookmarkStart w:id="0" w:name="_GoBack"/>
      <w:bookmarkEnd w:id="0"/>
      <w:r w:rsidRPr="00E276B3">
        <w:rPr>
          <w:b/>
          <w:sz w:val="28"/>
        </w:rPr>
        <w:t>Client Rights</w:t>
      </w:r>
      <w:r w:rsidR="00E276B3">
        <w:rPr>
          <w:b/>
          <w:sz w:val="28"/>
        </w:rPr>
        <w:t xml:space="preserve"> – Comparisons</w:t>
      </w:r>
      <w:r w:rsidR="00D74A0C">
        <w:rPr>
          <w:b/>
          <w:sz w:val="28"/>
        </w:rPr>
        <w:t xml:space="preserve">   </w:t>
      </w:r>
    </w:p>
    <w:tbl>
      <w:tblPr>
        <w:tblStyle w:val="TableGrid"/>
        <w:tblW w:w="18265" w:type="dxa"/>
        <w:tblCellMar>
          <w:left w:w="115" w:type="dxa"/>
          <w:right w:w="115" w:type="dxa"/>
        </w:tblCellMar>
        <w:tblLook w:val="04A0" w:firstRow="1" w:lastRow="0" w:firstColumn="1" w:lastColumn="0" w:noHBand="0" w:noVBand="1"/>
      </w:tblPr>
      <w:tblGrid>
        <w:gridCol w:w="3653"/>
        <w:gridCol w:w="3653"/>
        <w:gridCol w:w="3653"/>
        <w:gridCol w:w="3653"/>
        <w:gridCol w:w="3653"/>
      </w:tblGrid>
      <w:tr w:rsidR="001E6B20" w14:paraId="1FD603BF" w14:textId="77777777" w:rsidTr="001E6B20">
        <w:trPr>
          <w:tblHeader/>
        </w:trPr>
        <w:tc>
          <w:tcPr>
            <w:tcW w:w="3653" w:type="dxa"/>
            <w:tcBorders>
              <w:bottom w:val="single" w:sz="18" w:space="0" w:color="000000"/>
            </w:tcBorders>
          </w:tcPr>
          <w:p w14:paraId="61BD2E26" w14:textId="310859D4" w:rsidR="001E6B20" w:rsidRPr="005B12A9" w:rsidRDefault="001E6B20" w:rsidP="00B20342">
            <w:pPr>
              <w:spacing w:after="200"/>
              <w:rPr>
                <w:b/>
              </w:rPr>
            </w:pPr>
            <w:r w:rsidRPr="005B12A9">
              <w:rPr>
                <w:b/>
              </w:rPr>
              <w:t>7070</w:t>
            </w:r>
          </w:p>
        </w:tc>
        <w:tc>
          <w:tcPr>
            <w:tcW w:w="3653" w:type="dxa"/>
            <w:tcBorders>
              <w:bottom w:val="single" w:sz="18" w:space="0" w:color="000000"/>
            </w:tcBorders>
          </w:tcPr>
          <w:p w14:paraId="22A00FD8" w14:textId="570DEBC5" w:rsidR="001E6B20" w:rsidRPr="005B12A9" w:rsidRDefault="001E6B20" w:rsidP="00B20342">
            <w:pPr>
              <w:spacing w:after="200"/>
              <w:rPr>
                <w:b/>
              </w:rPr>
            </w:pPr>
            <w:r w:rsidRPr="005B12A9">
              <w:rPr>
                <w:b/>
              </w:rPr>
              <w:t>394</w:t>
            </w:r>
          </w:p>
        </w:tc>
        <w:tc>
          <w:tcPr>
            <w:tcW w:w="3653" w:type="dxa"/>
            <w:tcBorders>
              <w:bottom w:val="single" w:sz="18" w:space="0" w:color="000000"/>
            </w:tcBorders>
          </w:tcPr>
          <w:p w14:paraId="718C9653" w14:textId="77777777" w:rsidR="001E6B20" w:rsidRPr="005B12A9" w:rsidRDefault="001E6B20" w:rsidP="00B20342">
            <w:pPr>
              <w:spacing w:after="200"/>
              <w:rPr>
                <w:b/>
              </w:rPr>
            </w:pPr>
            <w:r w:rsidRPr="005B12A9">
              <w:rPr>
                <w:b/>
              </w:rPr>
              <w:t>397</w:t>
            </w:r>
          </w:p>
        </w:tc>
        <w:tc>
          <w:tcPr>
            <w:tcW w:w="3653" w:type="dxa"/>
            <w:tcBorders>
              <w:bottom w:val="single" w:sz="18" w:space="0" w:color="000000"/>
            </w:tcBorders>
          </w:tcPr>
          <w:p w14:paraId="15AD8FAB" w14:textId="77777777" w:rsidR="001E6B20" w:rsidRPr="005B12A9" w:rsidRDefault="001E6B20" w:rsidP="00B20342">
            <w:pPr>
              <w:spacing w:after="200"/>
              <w:rPr>
                <w:b/>
              </w:rPr>
            </w:pPr>
            <w:r w:rsidRPr="005B12A9">
              <w:rPr>
                <w:b/>
              </w:rPr>
              <w:t>CARF</w:t>
            </w:r>
          </w:p>
        </w:tc>
        <w:tc>
          <w:tcPr>
            <w:tcW w:w="3653" w:type="dxa"/>
            <w:tcBorders>
              <w:bottom w:val="single" w:sz="18" w:space="0" w:color="000000"/>
            </w:tcBorders>
          </w:tcPr>
          <w:p w14:paraId="3E6D531C" w14:textId="77777777" w:rsidR="001E6B20" w:rsidRPr="005B12A9" w:rsidRDefault="001E6B20" w:rsidP="00B20342">
            <w:pPr>
              <w:spacing w:after="200"/>
              <w:rPr>
                <w:b/>
              </w:rPr>
            </w:pPr>
            <w:r w:rsidRPr="005B12A9">
              <w:rPr>
                <w:b/>
              </w:rPr>
              <w:t>NASW</w:t>
            </w:r>
          </w:p>
        </w:tc>
      </w:tr>
      <w:tr w:rsidR="001E6B20" w14:paraId="70183CF0" w14:textId="77777777" w:rsidTr="001E6B20">
        <w:tc>
          <w:tcPr>
            <w:tcW w:w="3653" w:type="dxa"/>
            <w:tcBorders>
              <w:top w:val="single" w:sz="18" w:space="0" w:color="000000"/>
            </w:tcBorders>
            <w:shd w:val="clear" w:color="auto" w:fill="FFE599" w:themeFill="accent4" w:themeFillTint="66"/>
          </w:tcPr>
          <w:p w14:paraId="6E8FAB41" w14:textId="286AF295" w:rsidR="001E6B20" w:rsidRDefault="001E6B20" w:rsidP="00B20342">
            <w:pPr>
              <w:spacing w:after="200"/>
            </w:pPr>
            <w:r>
              <w:t>(1) Right to Dignity</w:t>
            </w:r>
          </w:p>
        </w:tc>
        <w:tc>
          <w:tcPr>
            <w:tcW w:w="3653" w:type="dxa"/>
            <w:tcBorders>
              <w:top w:val="single" w:sz="18" w:space="0" w:color="000000"/>
            </w:tcBorders>
            <w:shd w:val="clear" w:color="auto" w:fill="FFE599" w:themeFill="accent4" w:themeFillTint="66"/>
          </w:tcPr>
          <w:p w14:paraId="705A7673" w14:textId="39ED631C" w:rsidR="001E6B20" w:rsidRDefault="001E6B20" w:rsidP="00B20342">
            <w:pPr>
              <w:spacing w:after="200"/>
            </w:pPr>
            <w:r>
              <w:t>(1) Right to Individual Dignity</w:t>
            </w:r>
          </w:p>
          <w:p w14:paraId="597F163B" w14:textId="77777777" w:rsidR="001E6B20" w:rsidRDefault="001E6B20" w:rsidP="00B20342">
            <w:pPr>
              <w:spacing w:after="200"/>
            </w:pPr>
          </w:p>
        </w:tc>
        <w:tc>
          <w:tcPr>
            <w:tcW w:w="3653" w:type="dxa"/>
            <w:tcBorders>
              <w:top w:val="single" w:sz="18" w:space="0" w:color="000000"/>
            </w:tcBorders>
            <w:shd w:val="clear" w:color="auto" w:fill="FFE599" w:themeFill="accent4" w:themeFillTint="66"/>
          </w:tcPr>
          <w:p w14:paraId="7B84CA65" w14:textId="77777777" w:rsidR="001E6B20" w:rsidRDefault="001E6B20" w:rsidP="00B20342">
            <w:pPr>
              <w:spacing w:after="200"/>
            </w:pPr>
            <w:r>
              <w:t xml:space="preserve">(1) Right to Individual Dignity:  </w:t>
            </w:r>
          </w:p>
        </w:tc>
        <w:tc>
          <w:tcPr>
            <w:tcW w:w="3653" w:type="dxa"/>
            <w:tcBorders>
              <w:top w:val="single" w:sz="18" w:space="0" w:color="000000"/>
            </w:tcBorders>
            <w:shd w:val="clear" w:color="auto" w:fill="FFE599" w:themeFill="accent4" w:themeFillTint="66"/>
          </w:tcPr>
          <w:p w14:paraId="59349541" w14:textId="5896848F" w:rsidR="001E6B20" w:rsidRDefault="001E6B20" w:rsidP="00B20342">
            <w:pPr>
              <w:spacing w:after="200"/>
            </w:pPr>
            <w:r>
              <w:t>Section 1k. 2 - Freedom from abuse, financial exploitation, retaliation, humiliation, and neglect</w:t>
            </w:r>
          </w:p>
        </w:tc>
        <w:tc>
          <w:tcPr>
            <w:tcW w:w="3653" w:type="dxa"/>
            <w:tcBorders>
              <w:top w:val="single" w:sz="18" w:space="0" w:color="000000"/>
            </w:tcBorders>
            <w:shd w:val="clear" w:color="auto" w:fill="FFE599" w:themeFill="accent4" w:themeFillTint="66"/>
          </w:tcPr>
          <w:p w14:paraId="514EC15E" w14:textId="032B7454" w:rsidR="001E6B20" w:rsidRDefault="001E6B20" w:rsidP="00B20342">
            <w:pPr>
              <w:spacing w:after="200"/>
            </w:pPr>
            <w:r>
              <w:t>Respect for dignity; Protection from exploitation, harassment, abuse</w:t>
            </w:r>
          </w:p>
        </w:tc>
      </w:tr>
      <w:tr w:rsidR="001E6B20" w14:paraId="22D80635" w14:textId="77777777" w:rsidTr="001E6B20">
        <w:tc>
          <w:tcPr>
            <w:tcW w:w="3653" w:type="dxa"/>
            <w:shd w:val="clear" w:color="auto" w:fill="auto"/>
          </w:tcPr>
          <w:p w14:paraId="454189DA" w14:textId="29E90C6E" w:rsidR="001E6B20" w:rsidRDefault="001E6B20" w:rsidP="00B20342">
            <w:pPr>
              <w:spacing w:after="200"/>
            </w:pPr>
            <w:r>
              <w:t>Shall not be transported in vehicles used for criminals, except for protection of self or others;</w:t>
            </w:r>
          </w:p>
        </w:tc>
        <w:tc>
          <w:tcPr>
            <w:tcW w:w="3653" w:type="dxa"/>
            <w:shd w:val="clear" w:color="auto" w:fill="auto"/>
          </w:tcPr>
          <w:p w14:paraId="6CE6BDFE" w14:textId="0F0543DB" w:rsidR="001E6B20" w:rsidRDefault="001E6B20" w:rsidP="00B20342">
            <w:pPr>
              <w:spacing w:after="200"/>
            </w:pPr>
            <w:r>
              <w:t>Shall not be transported in vehicles used for criminals, except for protection of self or others</w:t>
            </w:r>
          </w:p>
        </w:tc>
        <w:tc>
          <w:tcPr>
            <w:tcW w:w="3653" w:type="dxa"/>
            <w:shd w:val="clear" w:color="auto" w:fill="BFBFBF" w:themeFill="background1" w:themeFillShade="BF"/>
          </w:tcPr>
          <w:p w14:paraId="6B13AE62" w14:textId="18FB9464" w:rsidR="001E6B20" w:rsidRDefault="001E6B20" w:rsidP="00B20342">
            <w:pPr>
              <w:spacing w:after="200"/>
            </w:pPr>
          </w:p>
        </w:tc>
        <w:tc>
          <w:tcPr>
            <w:tcW w:w="3653" w:type="dxa"/>
            <w:shd w:val="clear" w:color="auto" w:fill="BFBFBF" w:themeFill="background1" w:themeFillShade="BF"/>
          </w:tcPr>
          <w:p w14:paraId="7B93E7C9" w14:textId="77777777" w:rsidR="001E6B20" w:rsidRDefault="001E6B20" w:rsidP="00B20342">
            <w:pPr>
              <w:spacing w:after="200"/>
            </w:pPr>
          </w:p>
        </w:tc>
        <w:tc>
          <w:tcPr>
            <w:tcW w:w="3653" w:type="dxa"/>
            <w:shd w:val="clear" w:color="auto" w:fill="BFBFBF" w:themeFill="background1" w:themeFillShade="BF"/>
          </w:tcPr>
          <w:p w14:paraId="743016CF" w14:textId="38D83B79" w:rsidR="001E6B20" w:rsidRDefault="001E6B20" w:rsidP="00B20342">
            <w:pPr>
              <w:spacing w:after="200"/>
            </w:pPr>
          </w:p>
        </w:tc>
      </w:tr>
      <w:tr w:rsidR="001E6B20" w14:paraId="2297AD67" w14:textId="77777777" w:rsidTr="001E6B20">
        <w:tc>
          <w:tcPr>
            <w:tcW w:w="3653" w:type="dxa"/>
            <w:shd w:val="clear" w:color="auto" w:fill="auto"/>
          </w:tcPr>
          <w:p w14:paraId="34C13A86" w14:textId="6C8EAAAE" w:rsidR="001E6B20" w:rsidRDefault="001E6B20" w:rsidP="00B20342">
            <w:pPr>
              <w:spacing w:after="200"/>
            </w:pPr>
            <w:r>
              <w:t>Shall not be incarcerated in jails.</w:t>
            </w:r>
          </w:p>
        </w:tc>
        <w:tc>
          <w:tcPr>
            <w:tcW w:w="3653" w:type="dxa"/>
            <w:shd w:val="clear" w:color="auto" w:fill="auto"/>
          </w:tcPr>
          <w:p w14:paraId="5472E29D" w14:textId="689783CD" w:rsidR="001E6B20" w:rsidRDefault="001E6B20" w:rsidP="00B20342">
            <w:pPr>
              <w:spacing w:after="200"/>
            </w:pPr>
            <w:r>
              <w:t>Shall not be incarcerated in jails.</w:t>
            </w:r>
          </w:p>
        </w:tc>
        <w:tc>
          <w:tcPr>
            <w:tcW w:w="3653" w:type="dxa"/>
            <w:shd w:val="clear" w:color="auto" w:fill="auto"/>
          </w:tcPr>
          <w:p w14:paraId="566C8630" w14:textId="06786E1D" w:rsidR="001E6B20" w:rsidRDefault="001E6B20" w:rsidP="00B20342">
            <w:pPr>
              <w:spacing w:after="200"/>
            </w:pPr>
            <w:r>
              <w:t>Shall not be incarcerated in jail except under protective custody.</w:t>
            </w:r>
          </w:p>
        </w:tc>
        <w:tc>
          <w:tcPr>
            <w:tcW w:w="3653" w:type="dxa"/>
            <w:shd w:val="clear" w:color="auto" w:fill="BFBFBF" w:themeFill="background1" w:themeFillShade="BF"/>
          </w:tcPr>
          <w:p w14:paraId="6060DC3D" w14:textId="77777777" w:rsidR="001E6B20" w:rsidRDefault="001E6B20" w:rsidP="00B20342">
            <w:pPr>
              <w:spacing w:after="200"/>
            </w:pPr>
          </w:p>
        </w:tc>
        <w:tc>
          <w:tcPr>
            <w:tcW w:w="3653" w:type="dxa"/>
            <w:shd w:val="clear" w:color="auto" w:fill="BFBFBF" w:themeFill="background1" w:themeFillShade="BF"/>
          </w:tcPr>
          <w:p w14:paraId="7EEDF097" w14:textId="77777777" w:rsidR="001E6B20" w:rsidRDefault="001E6B20" w:rsidP="00B20342">
            <w:pPr>
              <w:spacing w:after="200"/>
            </w:pPr>
          </w:p>
        </w:tc>
      </w:tr>
      <w:tr w:rsidR="001E6B20" w14:paraId="1EE37AA1" w14:textId="77777777" w:rsidTr="001E6B20">
        <w:tc>
          <w:tcPr>
            <w:tcW w:w="3653" w:type="dxa"/>
            <w:tcBorders>
              <w:bottom w:val="single" w:sz="18" w:space="0" w:color="auto"/>
            </w:tcBorders>
            <w:shd w:val="clear" w:color="auto" w:fill="BFBFBF" w:themeFill="background1" w:themeFillShade="BF"/>
          </w:tcPr>
          <w:p w14:paraId="6DDAB76C" w14:textId="77777777" w:rsidR="001E6B20" w:rsidRDefault="001E6B20" w:rsidP="00B20342">
            <w:pPr>
              <w:spacing w:after="200"/>
            </w:pPr>
          </w:p>
        </w:tc>
        <w:tc>
          <w:tcPr>
            <w:tcW w:w="3653" w:type="dxa"/>
            <w:tcBorders>
              <w:bottom w:val="single" w:sz="18" w:space="0" w:color="auto"/>
            </w:tcBorders>
            <w:shd w:val="clear" w:color="auto" w:fill="BFBFBF" w:themeFill="background1" w:themeFillShade="BF"/>
          </w:tcPr>
          <w:p w14:paraId="7ABBA9E9" w14:textId="77777777" w:rsidR="001E6B20" w:rsidRDefault="001E6B20" w:rsidP="00B20342">
            <w:pPr>
              <w:spacing w:after="200"/>
            </w:pPr>
          </w:p>
        </w:tc>
        <w:tc>
          <w:tcPr>
            <w:tcW w:w="3653" w:type="dxa"/>
            <w:tcBorders>
              <w:bottom w:val="single" w:sz="18" w:space="0" w:color="auto"/>
            </w:tcBorders>
            <w:shd w:val="clear" w:color="auto" w:fill="BFBFBF" w:themeFill="background1" w:themeFillShade="BF"/>
          </w:tcPr>
          <w:p w14:paraId="0C723D45" w14:textId="77777777" w:rsidR="001E6B20" w:rsidRDefault="001E6B20" w:rsidP="00B20342">
            <w:pPr>
              <w:spacing w:after="200"/>
            </w:pPr>
          </w:p>
        </w:tc>
        <w:tc>
          <w:tcPr>
            <w:tcW w:w="3653" w:type="dxa"/>
            <w:tcBorders>
              <w:bottom w:val="single" w:sz="18" w:space="0" w:color="auto"/>
            </w:tcBorders>
            <w:shd w:val="clear" w:color="auto" w:fill="auto"/>
          </w:tcPr>
          <w:p w14:paraId="15A529A8" w14:textId="2168423C" w:rsidR="001E6B20" w:rsidRDefault="001E6B20" w:rsidP="00B20342">
            <w:pPr>
              <w:spacing w:after="200"/>
            </w:pPr>
            <w:r>
              <w:t>Section 1k.2 - Adherence to research guidelines and ethics, if applicable</w:t>
            </w:r>
          </w:p>
        </w:tc>
        <w:tc>
          <w:tcPr>
            <w:tcW w:w="3653" w:type="dxa"/>
            <w:tcBorders>
              <w:bottom w:val="single" w:sz="18" w:space="0" w:color="auto"/>
            </w:tcBorders>
            <w:shd w:val="clear" w:color="auto" w:fill="auto"/>
          </w:tcPr>
          <w:p w14:paraId="7C3BBE3C" w14:textId="01DF91A5" w:rsidR="001E6B20" w:rsidRDefault="001E6B20" w:rsidP="00B20342">
            <w:pPr>
              <w:spacing w:after="200"/>
            </w:pPr>
            <w:r>
              <w:t>Protection if participating in evaluation and research</w:t>
            </w:r>
          </w:p>
        </w:tc>
      </w:tr>
      <w:tr w:rsidR="001E6B20" w14:paraId="6BBE82DC" w14:textId="77777777" w:rsidTr="00684191">
        <w:trPr>
          <w:trHeight w:val="828"/>
        </w:trPr>
        <w:tc>
          <w:tcPr>
            <w:tcW w:w="3653" w:type="dxa"/>
            <w:tcBorders>
              <w:top w:val="single" w:sz="18" w:space="0" w:color="auto"/>
              <w:bottom w:val="single" w:sz="4" w:space="0" w:color="auto"/>
            </w:tcBorders>
            <w:shd w:val="clear" w:color="auto" w:fill="FFE599" w:themeFill="accent4" w:themeFillTint="66"/>
          </w:tcPr>
          <w:p w14:paraId="3C673800" w14:textId="7F216153" w:rsidR="001E6B20" w:rsidRDefault="001E6B20" w:rsidP="008E3354">
            <w:pPr>
              <w:spacing w:after="200"/>
            </w:pPr>
            <w:r>
              <w:t>(2) Protective Custody without Consent for Substance Abuse</w:t>
            </w:r>
          </w:p>
        </w:tc>
        <w:tc>
          <w:tcPr>
            <w:tcW w:w="3653" w:type="dxa"/>
            <w:tcBorders>
              <w:top w:val="single" w:sz="18" w:space="0" w:color="auto"/>
            </w:tcBorders>
            <w:shd w:val="clear" w:color="auto" w:fill="FFE599" w:themeFill="accent4" w:themeFillTint="66"/>
          </w:tcPr>
          <w:p w14:paraId="5EDC31FD" w14:textId="77777777" w:rsidR="001E6B20" w:rsidRDefault="001E6B20" w:rsidP="00B20342">
            <w:pPr>
              <w:spacing w:after="200"/>
            </w:pPr>
          </w:p>
        </w:tc>
        <w:tc>
          <w:tcPr>
            <w:tcW w:w="3653" w:type="dxa"/>
            <w:tcBorders>
              <w:top w:val="single" w:sz="18" w:space="0" w:color="auto"/>
            </w:tcBorders>
            <w:shd w:val="clear" w:color="auto" w:fill="FFE599" w:themeFill="accent4" w:themeFillTint="66"/>
          </w:tcPr>
          <w:p w14:paraId="40769685" w14:textId="1283A951" w:rsidR="001E6B20" w:rsidRDefault="00684191" w:rsidP="00B20342">
            <w:pPr>
              <w:spacing w:after="200"/>
            </w:pPr>
            <w:r>
              <w:t>Protective Custody without Consent for Substance Abuse</w:t>
            </w:r>
          </w:p>
        </w:tc>
        <w:tc>
          <w:tcPr>
            <w:tcW w:w="3653" w:type="dxa"/>
            <w:tcBorders>
              <w:top w:val="single" w:sz="18" w:space="0" w:color="auto"/>
            </w:tcBorders>
            <w:shd w:val="clear" w:color="auto" w:fill="FFE599" w:themeFill="accent4" w:themeFillTint="66"/>
          </w:tcPr>
          <w:p w14:paraId="20793D77" w14:textId="77777777" w:rsidR="001E6B20" w:rsidRDefault="001E6B20" w:rsidP="00B20342">
            <w:pPr>
              <w:spacing w:after="200"/>
            </w:pPr>
          </w:p>
        </w:tc>
        <w:tc>
          <w:tcPr>
            <w:tcW w:w="3653" w:type="dxa"/>
            <w:tcBorders>
              <w:top w:val="single" w:sz="18" w:space="0" w:color="auto"/>
            </w:tcBorders>
            <w:shd w:val="clear" w:color="auto" w:fill="FFE599" w:themeFill="accent4" w:themeFillTint="66"/>
          </w:tcPr>
          <w:p w14:paraId="6637CD34" w14:textId="77777777" w:rsidR="001E6B20" w:rsidRDefault="001E6B20" w:rsidP="00B20342">
            <w:pPr>
              <w:spacing w:after="200"/>
            </w:pPr>
          </w:p>
        </w:tc>
      </w:tr>
      <w:tr w:rsidR="001E6B20" w14:paraId="62E73A5B" w14:textId="77777777" w:rsidTr="00684191">
        <w:trPr>
          <w:trHeight w:val="1178"/>
        </w:trPr>
        <w:tc>
          <w:tcPr>
            <w:tcW w:w="3653" w:type="dxa"/>
            <w:tcBorders>
              <w:top w:val="single" w:sz="18" w:space="0" w:color="auto"/>
              <w:bottom w:val="single" w:sz="4" w:space="0" w:color="auto"/>
            </w:tcBorders>
            <w:shd w:val="clear" w:color="auto" w:fill="auto"/>
          </w:tcPr>
          <w:p w14:paraId="2EC0B05C" w14:textId="462D0E0C" w:rsidR="001E6B20" w:rsidRDefault="001E6B20" w:rsidP="008E3354">
            <w:pPr>
              <w:spacing w:after="200"/>
            </w:pPr>
            <w:r>
              <w:t>This section outlines the full criteria, process, and disposition for protective custody; 72 hour time period for hold; requirement for physical examination</w:t>
            </w:r>
          </w:p>
        </w:tc>
        <w:tc>
          <w:tcPr>
            <w:tcW w:w="3653" w:type="dxa"/>
            <w:vMerge w:val="restart"/>
            <w:tcBorders>
              <w:top w:val="single" w:sz="18" w:space="0" w:color="auto"/>
            </w:tcBorders>
            <w:shd w:val="clear" w:color="auto" w:fill="BFBFBF" w:themeFill="background1" w:themeFillShade="BF"/>
          </w:tcPr>
          <w:p w14:paraId="2FE41F30" w14:textId="61603C32" w:rsidR="001E6B20" w:rsidRDefault="001E6B20" w:rsidP="00B20342">
            <w:pPr>
              <w:spacing w:after="200"/>
            </w:pPr>
          </w:p>
        </w:tc>
        <w:tc>
          <w:tcPr>
            <w:tcW w:w="3653" w:type="dxa"/>
            <w:tcBorders>
              <w:top w:val="single" w:sz="18" w:space="0" w:color="auto"/>
            </w:tcBorders>
            <w:shd w:val="clear" w:color="auto" w:fill="F7CAAC" w:themeFill="accent2" w:themeFillTint="66"/>
          </w:tcPr>
          <w:p w14:paraId="5D8D34F3" w14:textId="2CA89FD9" w:rsidR="001E6B20" w:rsidRDefault="00684191" w:rsidP="00B20342">
            <w:pPr>
              <w:spacing w:after="200"/>
            </w:pPr>
            <w:r>
              <w:t>Addressed in 397 Part V B., specifying criteria, process, disposition alternatives for protective custody; 72 hour time period for hold; requirement for physical examination</w:t>
            </w:r>
          </w:p>
        </w:tc>
        <w:tc>
          <w:tcPr>
            <w:tcW w:w="3653" w:type="dxa"/>
            <w:vMerge w:val="restart"/>
            <w:tcBorders>
              <w:top w:val="single" w:sz="18" w:space="0" w:color="auto"/>
            </w:tcBorders>
            <w:shd w:val="clear" w:color="auto" w:fill="BFBFBF" w:themeFill="background1" w:themeFillShade="BF"/>
          </w:tcPr>
          <w:p w14:paraId="4D929E93" w14:textId="29DC8133" w:rsidR="001E6B20" w:rsidRDefault="001E6B20" w:rsidP="00B20342">
            <w:pPr>
              <w:spacing w:after="200"/>
            </w:pPr>
          </w:p>
        </w:tc>
        <w:tc>
          <w:tcPr>
            <w:tcW w:w="3653" w:type="dxa"/>
            <w:vMerge w:val="restart"/>
            <w:tcBorders>
              <w:top w:val="single" w:sz="18" w:space="0" w:color="auto"/>
            </w:tcBorders>
            <w:shd w:val="clear" w:color="auto" w:fill="BFBFBF" w:themeFill="background1" w:themeFillShade="BF"/>
          </w:tcPr>
          <w:p w14:paraId="0CDA5675" w14:textId="3C66AAFB" w:rsidR="001E6B20" w:rsidRDefault="001E6B20" w:rsidP="00B20342">
            <w:pPr>
              <w:spacing w:after="200"/>
            </w:pPr>
          </w:p>
        </w:tc>
      </w:tr>
      <w:tr w:rsidR="001E6B20" w14:paraId="1CA9D9CB" w14:textId="77777777" w:rsidTr="00684191">
        <w:trPr>
          <w:trHeight w:val="1177"/>
        </w:trPr>
        <w:tc>
          <w:tcPr>
            <w:tcW w:w="3653" w:type="dxa"/>
            <w:tcBorders>
              <w:top w:val="single" w:sz="4" w:space="0" w:color="auto"/>
              <w:left w:val="single" w:sz="4" w:space="0" w:color="auto"/>
              <w:bottom w:val="single" w:sz="4" w:space="0" w:color="auto"/>
              <w:right w:val="single" w:sz="4" w:space="0" w:color="auto"/>
            </w:tcBorders>
          </w:tcPr>
          <w:p w14:paraId="716A57BD" w14:textId="689BBAE6" w:rsidR="001E6B20" w:rsidRDefault="001E6B20" w:rsidP="00B20342">
            <w:pPr>
              <w:spacing w:after="200"/>
            </w:pPr>
            <w:r>
              <w:t>Must notify nearest relative of minor or adult, unless adult requests no notification be given</w:t>
            </w:r>
          </w:p>
        </w:tc>
        <w:tc>
          <w:tcPr>
            <w:tcW w:w="3653" w:type="dxa"/>
            <w:vMerge/>
            <w:tcBorders>
              <w:bottom w:val="single" w:sz="4" w:space="0" w:color="auto"/>
            </w:tcBorders>
            <w:shd w:val="clear" w:color="auto" w:fill="BFBFBF" w:themeFill="background1" w:themeFillShade="BF"/>
          </w:tcPr>
          <w:p w14:paraId="17B4E7CC" w14:textId="77777777" w:rsidR="001E6B20" w:rsidRDefault="001E6B20" w:rsidP="00B20342">
            <w:pPr>
              <w:spacing w:after="200"/>
            </w:pPr>
          </w:p>
        </w:tc>
        <w:tc>
          <w:tcPr>
            <w:tcW w:w="3653" w:type="dxa"/>
            <w:tcBorders>
              <w:bottom w:val="single" w:sz="4" w:space="0" w:color="auto"/>
            </w:tcBorders>
            <w:shd w:val="clear" w:color="auto" w:fill="F7CAAC" w:themeFill="accent2" w:themeFillTint="66"/>
          </w:tcPr>
          <w:p w14:paraId="122D3396" w14:textId="0D8955E3" w:rsidR="001E6B20" w:rsidRDefault="00684191" w:rsidP="00B20342">
            <w:pPr>
              <w:spacing w:after="200"/>
            </w:pPr>
            <w:r>
              <w:t>Must notify nearest relative of minor or adult, unless adult requests no notification be given</w:t>
            </w:r>
          </w:p>
        </w:tc>
        <w:tc>
          <w:tcPr>
            <w:tcW w:w="3653" w:type="dxa"/>
            <w:vMerge/>
            <w:tcBorders>
              <w:bottom w:val="single" w:sz="4" w:space="0" w:color="auto"/>
            </w:tcBorders>
            <w:shd w:val="clear" w:color="auto" w:fill="BFBFBF" w:themeFill="background1" w:themeFillShade="BF"/>
          </w:tcPr>
          <w:p w14:paraId="6B20B6FD" w14:textId="77777777" w:rsidR="001E6B20" w:rsidRDefault="001E6B20" w:rsidP="00B20342">
            <w:pPr>
              <w:spacing w:after="200"/>
            </w:pPr>
          </w:p>
        </w:tc>
        <w:tc>
          <w:tcPr>
            <w:tcW w:w="3653" w:type="dxa"/>
            <w:vMerge/>
            <w:tcBorders>
              <w:bottom w:val="single" w:sz="4" w:space="0" w:color="auto"/>
            </w:tcBorders>
            <w:shd w:val="clear" w:color="auto" w:fill="BFBFBF" w:themeFill="background1" w:themeFillShade="BF"/>
          </w:tcPr>
          <w:p w14:paraId="6118FC46" w14:textId="77777777" w:rsidR="001E6B20" w:rsidRDefault="001E6B20" w:rsidP="00B20342">
            <w:pPr>
              <w:spacing w:after="200"/>
            </w:pPr>
          </w:p>
        </w:tc>
      </w:tr>
      <w:tr w:rsidR="00684191" w14:paraId="4A751275" w14:textId="77777777" w:rsidTr="00684191">
        <w:trPr>
          <w:trHeight w:val="1232"/>
        </w:trPr>
        <w:tc>
          <w:tcPr>
            <w:tcW w:w="3653" w:type="dxa"/>
            <w:tcBorders>
              <w:top w:val="single" w:sz="4" w:space="0" w:color="auto"/>
            </w:tcBorders>
          </w:tcPr>
          <w:p w14:paraId="2A61FA5D" w14:textId="64D1E9DE" w:rsidR="00684191" w:rsidRDefault="00684191" w:rsidP="00684191">
            <w:pPr>
              <w:spacing w:after="200"/>
            </w:pPr>
            <w:r>
              <w:lastRenderedPageBreak/>
              <w:t>Must be assessed by attending physician within 72 hours</w:t>
            </w:r>
          </w:p>
        </w:tc>
        <w:tc>
          <w:tcPr>
            <w:tcW w:w="36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DA5D89" w14:textId="3104DE87" w:rsidR="00684191" w:rsidRDefault="00684191" w:rsidP="00684191">
            <w:pPr>
              <w:spacing w:after="200"/>
            </w:pPr>
            <w:r>
              <w:t xml:space="preserve"> </w:t>
            </w:r>
          </w:p>
          <w:p w14:paraId="5BB6A8F9" w14:textId="4190ABCC" w:rsidR="00684191" w:rsidRDefault="00684191" w:rsidP="00684191">
            <w:pPr>
              <w:spacing w:after="200"/>
            </w:pPr>
          </w:p>
        </w:tc>
        <w:tc>
          <w:tcPr>
            <w:tcW w:w="365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97D323A" w14:textId="09B9B88C" w:rsidR="00684191" w:rsidRDefault="00684191" w:rsidP="00684191">
            <w:pPr>
              <w:spacing w:after="200"/>
            </w:pPr>
            <w:r>
              <w:t>Must be assessed by attending physician within 72 hours</w:t>
            </w:r>
          </w:p>
        </w:tc>
        <w:tc>
          <w:tcPr>
            <w:tcW w:w="36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B0BCA8" w14:textId="57E1EC30" w:rsidR="00684191" w:rsidRDefault="00684191" w:rsidP="00684191">
            <w:pPr>
              <w:spacing w:after="200"/>
            </w:pPr>
          </w:p>
        </w:tc>
        <w:tc>
          <w:tcPr>
            <w:tcW w:w="36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4246E1" w14:textId="616B5838" w:rsidR="00684191" w:rsidRDefault="00684191" w:rsidP="00684191">
            <w:pPr>
              <w:spacing w:after="200"/>
            </w:pPr>
          </w:p>
        </w:tc>
      </w:tr>
      <w:tr w:rsidR="00684191" w14:paraId="59A23BCC" w14:textId="77777777" w:rsidTr="00684191">
        <w:tc>
          <w:tcPr>
            <w:tcW w:w="3653" w:type="dxa"/>
          </w:tcPr>
          <w:p w14:paraId="044DA214" w14:textId="4D1DB917" w:rsidR="00684191" w:rsidRDefault="00684191" w:rsidP="00684191">
            <w:pPr>
              <w:spacing w:after="200"/>
            </w:pPr>
            <w:r>
              <w:t>Must be released by qualified professional when no longer meeting criteria, when 72 hours has elapsed, or individual voluntarily consents to admission</w:t>
            </w:r>
          </w:p>
        </w:tc>
        <w:tc>
          <w:tcPr>
            <w:tcW w:w="3653" w:type="dxa"/>
            <w:tcBorders>
              <w:top w:val="single" w:sz="4" w:space="0" w:color="auto"/>
            </w:tcBorders>
            <w:shd w:val="clear" w:color="auto" w:fill="BFBFBF" w:themeFill="background1" w:themeFillShade="BF"/>
          </w:tcPr>
          <w:p w14:paraId="4FD15451" w14:textId="52A11693" w:rsidR="00684191" w:rsidRDefault="00684191" w:rsidP="00684191">
            <w:pPr>
              <w:spacing w:after="200"/>
            </w:pPr>
          </w:p>
        </w:tc>
        <w:tc>
          <w:tcPr>
            <w:tcW w:w="3653" w:type="dxa"/>
            <w:tcBorders>
              <w:top w:val="single" w:sz="4" w:space="0" w:color="auto"/>
            </w:tcBorders>
            <w:shd w:val="clear" w:color="auto" w:fill="F7CAAC" w:themeFill="accent2" w:themeFillTint="66"/>
          </w:tcPr>
          <w:p w14:paraId="2C9C97D2" w14:textId="4091A4B0" w:rsidR="00684191" w:rsidRDefault="00684191" w:rsidP="00684191">
            <w:pPr>
              <w:spacing w:after="200"/>
            </w:pPr>
            <w:r>
              <w:t>Must be released by qualified professional when no longer meeting criteria, when 72 hours has elapsed, or individual voluntarily consents to admission</w:t>
            </w:r>
          </w:p>
        </w:tc>
        <w:tc>
          <w:tcPr>
            <w:tcW w:w="3653" w:type="dxa"/>
            <w:tcBorders>
              <w:top w:val="single" w:sz="4" w:space="0" w:color="auto"/>
            </w:tcBorders>
            <w:shd w:val="clear" w:color="auto" w:fill="BFBFBF" w:themeFill="background1" w:themeFillShade="BF"/>
          </w:tcPr>
          <w:p w14:paraId="56ABC05A" w14:textId="77777777" w:rsidR="00684191" w:rsidRDefault="00684191" w:rsidP="00684191">
            <w:pPr>
              <w:spacing w:after="200"/>
            </w:pPr>
          </w:p>
        </w:tc>
        <w:tc>
          <w:tcPr>
            <w:tcW w:w="3653" w:type="dxa"/>
            <w:tcBorders>
              <w:top w:val="single" w:sz="4" w:space="0" w:color="auto"/>
            </w:tcBorders>
            <w:shd w:val="clear" w:color="auto" w:fill="BFBFBF" w:themeFill="background1" w:themeFillShade="BF"/>
          </w:tcPr>
          <w:p w14:paraId="15FF2EF7" w14:textId="77777777" w:rsidR="00684191" w:rsidRDefault="00684191" w:rsidP="00684191">
            <w:pPr>
              <w:spacing w:after="200"/>
            </w:pPr>
          </w:p>
        </w:tc>
      </w:tr>
      <w:tr w:rsidR="00684191" w14:paraId="65ABD0B5" w14:textId="77777777" w:rsidTr="00684191">
        <w:tc>
          <w:tcPr>
            <w:tcW w:w="3653" w:type="dxa"/>
            <w:tcBorders>
              <w:bottom w:val="single" w:sz="4" w:space="0" w:color="000000"/>
            </w:tcBorders>
          </w:tcPr>
          <w:p w14:paraId="557AD3D0" w14:textId="5F615646" w:rsidR="00684191" w:rsidRDefault="00684191" w:rsidP="00684191">
            <w:pPr>
              <w:spacing w:after="200"/>
            </w:pPr>
            <w:r>
              <w:t>May be detained in protective custody beyond 72 hours if petitioner has initiated involuntary assessment or treatment petition</w:t>
            </w:r>
          </w:p>
        </w:tc>
        <w:tc>
          <w:tcPr>
            <w:tcW w:w="3653" w:type="dxa"/>
            <w:shd w:val="clear" w:color="auto" w:fill="BFBFBF" w:themeFill="background1" w:themeFillShade="BF"/>
          </w:tcPr>
          <w:p w14:paraId="3FDCD674" w14:textId="08EBD727" w:rsidR="00684191" w:rsidRDefault="00684191" w:rsidP="00684191">
            <w:pPr>
              <w:spacing w:after="200"/>
            </w:pPr>
          </w:p>
        </w:tc>
        <w:tc>
          <w:tcPr>
            <w:tcW w:w="3653" w:type="dxa"/>
            <w:shd w:val="clear" w:color="auto" w:fill="F7CAAC" w:themeFill="accent2" w:themeFillTint="66"/>
          </w:tcPr>
          <w:p w14:paraId="161BF5B6" w14:textId="5C99D4C2" w:rsidR="00684191" w:rsidRDefault="00684191" w:rsidP="00684191">
            <w:pPr>
              <w:spacing w:after="200"/>
            </w:pPr>
            <w:r>
              <w:t>May be detained in protective custody beyond 72 hours if petitioner has initiated involuntary assessment or treatment petition</w:t>
            </w:r>
          </w:p>
        </w:tc>
        <w:tc>
          <w:tcPr>
            <w:tcW w:w="3653" w:type="dxa"/>
            <w:shd w:val="clear" w:color="auto" w:fill="BFBFBF" w:themeFill="background1" w:themeFillShade="BF"/>
          </w:tcPr>
          <w:p w14:paraId="34F18E2E" w14:textId="77777777" w:rsidR="00684191" w:rsidRDefault="00684191" w:rsidP="00684191">
            <w:pPr>
              <w:spacing w:after="200"/>
            </w:pPr>
          </w:p>
        </w:tc>
        <w:tc>
          <w:tcPr>
            <w:tcW w:w="3653" w:type="dxa"/>
            <w:shd w:val="clear" w:color="auto" w:fill="BFBFBF" w:themeFill="background1" w:themeFillShade="BF"/>
          </w:tcPr>
          <w:p w14:paraId="31E859F2" w14:textId="77777777" w:rsidR="00684191" w:rsidRDefault="00684191" w:rsidP="00684191">
            <w:pPr>
              <w:spacing w:after="200"/>
            </w:pPr>
          </w:p>
        </w:tc>
      </w:tr>
      <w:tr w:rsidR="00684191" w14:paraId="369812B1" w14:textId="77777777" w:rsidTr="001E6B20">
        <w:tc>
          <w:tcPr>
            <w:tcW w:w="3653" w:type="dxa"/>
            <w:tcBorders>
              <w:top w:val="single" w:sz="18" w:space="0" w:color="auto"/>
            </w:tcBorders>
            <w:shd w:val="clear" w:color="auto" w:fill="FFE599" w:themeFill="accent4" w:themeFillTint="66"/>
          </w:tcPr>
          <w:p w14:paraId="0DD5F9C5" w14:textId="191F621A" w:rsidR="00684191" w:rsidRDefault="00684191" w:rsidP="00684191">
            <w:pPr>
              <w:spacing w:after="200"/>
            </w:pPr>
            <w:r>
              <w:t>(3) Right to Treatment</w:t>
            </w:r>
          </w:p>
        </w:tc>
        <w:tc>
          <w:tcPr>
            <w:tcW w:w="3653" w:type="dxa"/>
            <w:tcBorders>
              <w:top w:val="single" w:sz="18" w:space="0" w:color="auto"/>
            </w:tcBorders>
            <w:shd w:val="clear" w:color="auto" w:fill="FFE599" w:themeFill="accent4" w:themeFillTint="66"/>
          </w:tcPr>
          <w:p w14:paraId="5404D8E6" w14:textId="4BBC5854" w:rsidR="00684191" w:rsidRDefault="00684191" w:rsidP="00684191">
            <w:pPr>
              <w:spacing w:after="200"/>
            </w:pPr>
            <w:r>
              <w:t>(2) Right to Treatment</w:t>
            </w:r>
          </w:p>
        </w:tc>
        <w:tc>
          <w:tcPr>
            <w:tcW w:w="3653" w:type="dxa"/>
            <w:tcBorders>
              <w:top w:val="single" w:sz="18" w:space="0" w:color="auto"/>
            </w:tcBorders>
            <w:shd w:val="clear" w:color="auto" w:fill="FFE599" w:themeFill="accent4" w:themeFillTint="66"/>
          </w:tcPr>
          <w:p w14:paraId="5901E078" w14:textId="42E0C586" w:rsidR="00684191" w:rsidRDefault="00684191" w:rsidP="00684191">
            <w:pPr>
              <w:spacing w:after="200"/>
            </w:pPr>
            <w:r>
              <w:t>(2) Right to Nondiscriminatory Services</w:t>
            </w:r>
          </w:p>
        </w:tc>
        <w:tc>
          <w:tcPr>
            <w:tcW w:w="3653" w:type="dxa"/>
            <w:tcBorders>
              <w:top w:val="single" w:sz="18" w:space="0" w:color="auto"/>
            </w:tcBorders>
            <w:shd w:val="clear" w:color="auto" w:fill="FFE599" w:themeFill="accent4" w:themeFillTint="66"/>
          </w:tcPr>
          <w:p w14:paraId="71FDA47F" w14:textId="744E9323" w:rsidR="00684191" w:rsidRDefault="00684191" w:rsidP="00684191">
            <w:pPr>
              <w:spacing w:after="200"/>
            </w:pPr>
            <w:r>
              <w:t>Accessibility of services</w:t>
            </w:r>
          </w:p>
        </w:tc>
        <w:tc>
          <w:tcPr>
            <w:tcW w:w="3653" w:type="dxa"/>
            <w:tcBorders>
              <w:top w:val="single" w:sz="18" w:space="0" w:color="auto"/>
            </w:tcBorders>
            <w:shd w:val="clear" w:color="auto" w:fill="FFE599" w:themeFill="accent4" w:themeFillTint="66"/>
          </w:tcPr>
          <w:p w14:paraId="2A9C9107" w14:textId="6FAFCE1C" w:rsidR="00684191" w:rsidRDefault="00684191" w:rsidP="00684191">
            <w:pPr>
              <w:spacing w:after="200"/>
            </w:pPr>
            <w:r>
              <w:t>Access to Services</w:t>
            </w:r>
          </w:p>
        </w:tc>
      </w:tr>
      <w:tr w:rsidR="00684191" w14:paraId="0D8C4F83" w14:textId="77777777" w:rsidTr="001E6B20">
        <w:tc>
          <w:tcPr>
            <w:tcW w:w="3653" w:type="dxa"/>
          </w:tcPr>
          <w:p w14:paraId="598B7ADC" w14:textId="640347AD" w:rsidR="00684191" w:rsidRDefault="00684191" w:rsidP="00684191">
            <w:pPr>
              <w:spacing w:after="200"/>
            </w:pPr>
            <w:r>
              <w:t>May not be denied services due to inability to pay</w:t>
            </w:r>
          </w:p>
        </w:tc>
        <w:tc>
          <w:tcPr>
            <w:tcW w:w="3653" w:type="dxa"/>
          </w:tcPr>
          <w:p w14:paraId="0311F2B0" w14:textId="105F3F1C" w:rsidR="00684191" w:rsidRDefault="00684191" w:rsidP="00684191">
            <w:pPr>
              <w:spacing w:after="200"/>
            </w:pPr>
            <w:r>
              <w:t>May not be denied services due to inability to pay</w:t>
            </w:r>
          </w:p>
        </w:tc>
        <w:tc>
          <w:tcPr>
            <w:tcW w:w="3653" w:type="dxa"/>
          </w:tcPr>
          <w:p w14:paraId="6297EA01" w14:textId="4AD7E626" w:rsidR="00684191" w:rsidRDefault="00684191" w:rsidP="00684191">
            <w:pPr>
              <w:spacing w:after="200"/>
            </w:pPr>
            <w:r>
              <w:t>May not be denied services due to inability to pay</w:t>
            </w:r>
          </w:p>
        </w:tc>
        <w:tc>
          <w:tcPr>
            <w:tcW w:w="3653" w:type="dxa"/>
          </w:tcPr>
          <w:p w14:paraId="081ABC6D" w14:textId="3762B9C7" w:rsidR="00684191" w:rsidRDefault="00684191" w:rsidP="00684191">
            <w:pPr>
              <w:spacing w:after="200"/>
            </w:pPr>
            <w:r>
              <w:t>Section 1f.8 - Set, review, and disclose fee structure; modify when necessary; Section 1l.1-  Address barriers to services including economic</w:t>
            </w:r>
          </w:p>
        </w:tc>
        <w:tc>
          <w:tcPr>
            <w:tcW w:w="3653" w:type="dxa"/>
          </w:tcPr>
          <w:p w14:paraId="04BB5288" w14:textId="4C87FE44" w:rsidR="00684191" w:rsidRDefault="00684191" w:rsidP="00684191">
            <w:pPr>
              <w:spacing w:after="200"/>
            </w:pPr>
            <w:r>
              <w:t>Fair and reasonable fees commensurate with services performed</w:t>
            </w:r>
          </w:p>
        </w:tc>
      </w:tr>
      <w:tr w:rsidR="00684191" w14:paraId="02B0666D" w14:textId="77777777" w:rsidTr="001E6B20">
        <w:tc>
          <w:tcPr>
            <w:tcW w:w="3653" w:type="dxa"/>
            <w:shd w:val="clear" w:color="auto" w:fill="BFBFBF" w:themeFill="background1" w:themeFillShade="BF"/>
          </w:tcPr>
          <w:p w14:paraId="15194523" w14:textId="6CE19595" w:rsidR="00684191" w:rsidRDefault="00684191" w:rsidP="00684191">
            <w:pPr>
              <w:spacing w:after="200"/>
            </w:pPr>
          </w:p>
        </w:tc>
        <w:tc>
          <w:tcPr>
            <w:tcW w:w="3653" w:type="dxa"/>
            <w:shd w:val="clear" w:color="auto" w:fill="BFBFBF" w:themeFill="background1" w:themeFillShade="BF"/>
          </w:tcPr>
          <w:p w14:paraId="5AD31613" w14:textId="562212AB" w:rsidR="00684191" w:rsidRDefault="00684191" w:rsidP="00684191">
            <w:pPr>
              <w:spacing w:after="200"/>
            </w:pPr>
          </w:p>
        </w:tc>
        <w:tc>
          <w:tcPr>
            <w:tcW w:w="3653" w:type="dxa"/>
          </w:tcPr>
          <w:p w14:paraId="5998C8C6" w14:textId="4F5A604D" w:rsidR="00684191" w:rsidRDefault="00684191" w:rsidP="00684191">
            <w:pPr>
              <w:spacing w:after="200"/>
            </w:pPr>
            <w:r>
              <w:t>May not be denied services on basis of demographics (e.g., race, age, gender), HIV status, prior service departures against medical advice; number of relapses; or due to taking prescribed medication</w:t>
            </w:r>
          </w:p>
        </w:tc>
        <w:tc>
          <w:tcPr>
            <w:tcW w:w="3653" w:type="dxa"/>
          </w:tcPr>
          <w:p w14:paraId="28FA0D95" w14:textId="617DE028" w:rsidR="00684191" w:rsidRDefault="00684191" w:rsidP="00684191">
            <w:pPr>
              <w:spacing w:after="200"/>
            </w:pPr>
            <w:r>
              <w:t>Section 1L.1, 2, 3 - Address barriers to services including disability, language, race, gender, etc.</w:t>
            </w:r>
          </w:p>
        </w:tc>
        <w:tc>
          <w:tcPr>
            <w:tcW w:w="3653" w:type="dxa"/>
          </w:tcPr>
          <w:p w14:paraId="1BE7C840" w14:textId="750ABD84" w:rsidR="00684191" w:rsidRDefault="00684191" w:rsidP="00684191">
            <w:pPr>
              <w:spacing w:after="200"/>
            </w:pPr>
            <w:r>
              <w:t>Right to culturally sensitive treatment</w:t>
            </w:r>
          </w:p>
        </w:tc>
      </w:tr>
      <w:tr w:rsidR="00684191" w14:paraId="64B9F36B" w14:textId="77777777" w:rsidTr="001E6B20">
        <w:tc>
          <w:tcPr>
            <w:tcW w:w="3653" w:type="dxa"/>
          </w:tcPr>
          <w:p w14:paraId="4E4780BB" w14:textId="641C6286" w:rsidR="00684191" w:rsidRDefault="00684191" w:rsidP="00684191">
            <w:pPr>
              <w:spacing w:after="200"/>
            </w:pPr>
            <w:r>
              <w:t xml:space="preserve">To receive the least restrictive </w:t>
            </w:r>
            <w:r>
              <w:lastRenderedPageBreak/>
              <w:t>treatment appropriate</w:t>
            </w:r>
          </w:p>
        </w:tc>
        <w:tc>
          <w:tcPr>
            <w:tcW w:w="3653" w:type="dxa"/>
          </w:tcPr>
          <w:p w14:paraId="44560B4F" w14:textId="44B9AE1D" w:rsidR="00684191" w:rsidRDefault="00684191" w:rsidP="00684191">
            <w:pPr>
              <w:spacing w:after="200"/>
            </w:pPr>
            <w:r w:rsidRPr="00412D64">
              <w:lastRenderedPageBreak/>
              <w:t xml:space="preserve">To receive the least restrictive </w:t>
            </w:r>
            <w:r w:rsidRPr="00412D64">
              <w:lastRenderedPageBreak/>
              <w:t>treatment appropriate</w:t>
            </w:r>
          </w:p>
        </w:tc>
        <w:tc>
          <w:tcPr>
            <w:tcW w:w="3653" w:type="dxa"/>
          </w:tcPr>
          <w:p w14:paraId="33FCB9E2" w14:textId="5B0BBC49" w:rsidR="00684191" w:rsidRDefault="00684191" w:rsidP="00684191">
            <w:pPr>
              <w:spacing w:after="200"/>
            </w:pPr>
            <w:r w:rsidRPr="00412D64">
              <w:lastRenderedPageBreak/>
              <w:t xml:space="preserve">To receive the least restrictive </w:t>
            </w:r>
            <w:r w:rsidRPr="00412D64">
              <w:lastRenderedPageBreak/>
              <w:t>treatment appropriate</w:t>
            </w:r>
          </w:p>
        </w:tc>
        <w:tc>
          <w:tcPr>
            <w:tcW w:w="3653" w:type="dxa"/>
            <w:shd w:val="clear" w:color="auto" w:fill="BFBFBF" w:themeFill="background1" w:themeFillShade="BF"/>
          </w:tcPr>
          <w:p w14:paraId="5430CF6F" w14:textId="086B58B7" w:rsidR="00684191" w:rsidRDefault="00684191" w:rsidP="00684191">
            <w:pPr>
              <w:spacing w:after="200"/>
            </w:pPr>
          </w:p>
        </w:tc>
        <w:tc>
          <w:tcPr>
            <w:tcW w:w="3653" w:type="dxa"/>
            <w:shd w:val="clear" w:color="auto" w:fill="BFBFBF" w:themeFill="background1" w:themeFillShade="BF"/>
          </w:tcPr>
          <w:p w14:paraId="6F92B1B6" w14:textId="4CA16651" w:rsidR="00684191" w:rsidRDefault="00684191" w:rsidP="00684191">
            <w:pPr>
              <w:spacing w:after="200"/>
            </w:pPr>
          </w:p>
        </w:tc>
      </w:tr>
      <w:tr w:rsidR="00684191" w14:paraId="256B98BF" w14:textId="77777777" w:rsidTr="001E6B20">
        <w:tc>
          <w:tcPr>
            <w:tcW w:w="3653" w:type="dxa"/>
          </w:tcPr>
          <w:p w14:paraId="4AEBF327" w14:textId="0952A25C" w:rsidR="00684191" w:rsidRDefault="00684191" w:rsidP="00684191">
            <w:pPr>
              <w:spacing w:after="200"/>
            </w:pPr>
            <w:r>
              <w:lastRenderedPageBreak/>
              <w:t>Shall be given a physical examination by health care practitioner, and MH or SA evaluation by psychiatrist, psychologist, psychiatric nurse, or qualified substance abuse professional within 24 hours after arrival at receiving facility; must include efforts to identify indicators of substance abuse impairment, intoxication, and withdrawal</w:t>
            </w:r>
          </w:p>
        </w:tc>
        <w:tc>
          <w:tcPr>
            <w:tcW w:w="3653" w:type="dxa"/>
          </w:tcPr>
          <w:p w14:paraId="4CBC4775" w14:textId="743F3A86" w:rsidR="00684191" w:rsidRDefault="00684191" w:rsidP="00684191">
            <w:pPr>
              <w:spacing w:after="200"/>
            </w:pPr>
            <w:r>
              <w:t>If held at a receiving facility more than 12 hours, must have physical exam within 24 hours</w:t>
            </w:r>
          </w:p>
        </w:tc>
        <w:tc>
          <w:tcPr>
            <w:tcW w:w="3653" w:type="dxa"/>
            <w:shd w:val="clear" w:color="auto" w:fill="BFBFBF" w:themeFill="background1" w:themeFillShade="BF"/>
          </w:tcPr>
          <w:p w14:paraId="6E0E2972" w14:textId="124A2B67" w:rsidR="00684191" w:rsidRDefault="00684191" w:rsidP="00684191">
            <w:pPr>
              <w:spacing w:after="200"/>
            </w:pPr>
          </w:p>
        </w:tc>
        <w:tc>
          <w:tcPr>
            <w:tcW w:w="3653" w:type="dxa"/>
            <w:shd w:val="clear" w:color="auto" w:fill="BFBFBF" w:themeFill="background1" w:themeFillShade="BF"/>
          </w:tcPr>
          <w:p w14:paraId="5CCA9CCD" w14:textId="24A2E87A" w:rsidR="00684191" w:rsidRDefault="00684191" w:rsidP="00684191">
            <w:pPr>
              <w:spacing w:after="200"/>
            </w:pPr>
          </w:p>
        </w:tc>
        <w:tc>
          <w:tcPr>
            <w:tcW w:w="3653" w:type="dxa"/>
            <w:shd w:val="clear" w:color="auto" w:fill="BFBFBF" w:themeFill="background1" w:themeFillShade="BF"/>
          </w:tcPr>
          <w:p w14:paraId="63EE5384" w14:textId="69C42082" w:rsidR="00684191" w:rsidRDefault="00684191" w:rsidP="00684191">
            <w:pPr>
              <w:spacing w:after="200"/>
            </w:pPr>
          </w:p>
        </w:tc>
      </w:tr>
      <w:tr w:rsidR="00684191" w14:paraId="4BDD4C47" w14:textId="77777777" w:rsidTr="001E6B20">
        <w:tc>
          <w:tcPr>
            <w:tcW w:w="3653" w:type="dxa"/>
          </w:tcPr>
          <w:p w14:paraId="08DE5F8F" w14:textId="1221F935" w:rsidR="00684191" w:rsidRDefault="00684191" w:rsidP="00684191">
            <w:pPr>
              <w:spacing w:after="200"/>
            </w:pPr>
            <w:r>
              <w:t>To participate in activities designed to enhance self-image and beneficial effects of other treatment</w:t>
            </w:r>
          </w:p>
        </w:tc>
        <w:tc>
          <w:tcPr>
            <w:tcW w:w="3653" w:type="dxa"/>
          </w:tcPr>
          <w:p w14:paraId="2BCF9C8C" w14:textId="34DA5B6F" w:rsidR="00684191" w:rsidRDefault="00684191" w:rsidP="00684191">
            <w:pPr>
              <w:spacing w:after="200"/>
            </w:pPr>
            <w:r>
              <w:t>To participate in activities designed to enhance self-image and beneficial effects of other treatment</w:t>
            </w:r>
          </w:p>
        </w:tc>
        <w:tc>
          <w:tcPr>
            <w:tcW w:w="3653" w:type="dxa"/>
          </w:tcPr>
          <w:p w14:paraId="56B5736F" w14:textId="6F391745" w:rsidR="00684191" w:rsidRDefault="00684191" w:rsidP="00684191">
            <w:pPr>
              <w:spacing w:after="200"/>
            </w:pPr>
            <w:r>
              <w:t>To participate in activities designed to enhance self-image</w:t>
            </w:r>
          </w:p>
        </w:tc>
        <w:tc>
          <w:tcPr>
            <w:tcW w:w="3653" w:type="dxa"/>
            <w:shd w:val="clear" w:color="auto" w:fill="auto"/>
          </w:tcPr>
          <w:p w14:paraId="303889C5" w14:textId="47F7DD7F" w:rsidR="00684191" w:rsidRDefault="00684191" w:rsidP="00684191">
            <w:pPr>
              <w:spacing w:after="200"/>
            </w:pPr>
            <w:r>
              <w:t>2a.11 -  Support recovery and health, enhance quality of life, support integration to community; access or referral to self-help support services</w:t>
            </w:r>
          </w:p>
        </w:tc>
        <w:tc>
          <w:tcPr>
            <w:tcW w:w="3653" w:type="dxa"/>
            <w:shd w:val="clear" w:color="auto" w:fill="BFBFBF" w:themeFill="background1" w:themeFillShade="BF"/>
          </w:tcPr>
          <w:p w14:paraId="040A2336" w14:textId="7807CAD6" w:rsidR="00684191" w:rsidRDefault="00684191" w:rsidP="00684191">
            <w:pPr>
              <w:spacing w:after="200"/>
            </w:pPr>
          </w:p>
        </w:tc>
      </w:tr>
      <w:tr w:rsidR="00684191" w14:paraId="756B13EC" w14:textId="77777777" w:rsidTr="001E6B20">
        <w:tc>
          <w:tcPr>
            <w:tcW w:w="3653" w:type="dxa"/>
            <w:tcBorders>
              <w:bottom w:val="single" w:sz="18" w:space="0" w:color="auto"/>
            </w:tcBorders>
          </w:tcPr>
          <w:p w14:paraId="0BA33595" w14:textId="1A0C11E9" w:rsidR="00684191" w:rsidRDefault="00684191" w:rsidP="00684191">
            <w:pPr>
              <w:spacing w:after="200"/>
            </w:pPr>
            <w:r>
              <w:t>Individualized treatment plan with patient input and review within five days of admission to a receiving facility</w:t>
            </w:r>
          </w:p>
        </w:tc>
        <w:tc>
          <w:tcPr>
            <w:tcW w:w="3653" w:type="dxa"/>
            <w:tcBorders>
              <w:bottom w:val="single" w:sz="18" w:space="0" w:color="auto"/>
            </w:tcBorders>
          </w:tcPr>
          <w:p w14:paraId="03C42E64" w14:textId="70933652" w:rsidR="00684191" w:rsidRDefault="00684191" w:rsidP="00684191">
            <w:pPr>
              <w:spacing w:after="200"/>
            </w:pPr>
            <w:r>
              <w:t>Individualized treatment plan with patient input and review within five days of admission to a receiving facility</w:t>
            </w:r>
          </w:p>
        </w:tc>
        <w:tc>
          <w:tcPr>
            <w:tcW w:w="3653" w:type="dxa"/>
            <w:tcBorders>
              <w:bottom w:val="single" w:sz="18" w:space="0" w:color="auto"/>
            </w:tcBorders>
            <w:shd w:val="clear" w:color="auto" w:fill="auto"/>
          </w:tcPr>
          <w:p w14:paraId="183469B4" w14:textId="5C140994" w:rsidR="00684191" w:rsidRDefault="00684191" w:rsidP="00684191">
            <w:pPr>
              <w:spacing w:after="200"/>
            </w:pPr>
            <w:r>
              <w:t>Individuals may participate in treatment planning and review to the extent of ability to participate</w:t>
            </w:r>
          </w:p>
        </w:tc>
        <w:tc>
          <w:tcPr>
            <w:tcW w:w="3653" w:type="dxa"/>
            <w:tcBorders>
              <w:bottom w:val="single" w:sz="18" w:space="0" w:color="auto"/>
            </w:tcBorders>
          </w:tcPr>
          <w:p w14:paraId="672113EE" w14:textId="16CF8984" w:rsidR="00684191" w:rsidRDefault="00684191" w:rsidP="00684191">
            <w:pPr>
              <w:spacing w:after="200"/>
            </w:pPr>
            <w:r>
              <w:t>2c.1 -  Person-centered treatment planning, SNAP, natural support systems involved; address co-occurring disorders</w:t>
            </w:r>
          </w:p>
        </w:tc>
        <w:tc>
          <w:tcPr>
            <w:tcW w:w="3653" w:type="dxa"/>
            <w:tcBorders>
              <w:bottom w:val="single" w:sz="18" w:space="0" w:color="auto"/>
            </w:tcBorders>
          </w:tcPr>
          <w:p w14:paraId="7B06732A" w14:textId="6C8C4CBD" w:rsidR="00684191" w:rsidRDefault="00684191" w:rsidP="00684191">
            <w:pPr>
              <w:spacing w:after="200"/>
            </w:pPr>
          </w:p>
        </w:tc>
      </w:tr>
      <w:tr w:rsidR="00684191" w14:paraId="5C0881ED" w14:textId="77777777" w:rsidTr="001E6B20">
        <w:tc>
          <w:tcPr>
            <w:tcW w:w="3653" w:type="dxa"/>
            <w:tcBorders>
              <w:top w:val="single" w:sz="18" w:space="0" w:color="auto"/>
            </w:tcBorders>
            <w:shd w:val="clear" w:color="auto" w:fill="FFE599" w:themeFill="accent4" w:themeFillTint="66"/>
          </w:tcPr>
          <w:p w14:paraId="57AE62A6" w14:textId="1A19FBF1" w:rsidR="00684191" w:rsidRDefault="00684191" w:rsidP="00684191">
            <w:pPr>
              <w:spacing w:after="200"/>
            </w:pPr>
            <w:r>
              <w:t>(4) Right to Express and Informed Consent</w:t>
            </w:r>
          </w:p>
        </w:tc>
        <w:tc>
          <w:tcPr>
            <w:tcW w:w="3653" w:type="dxa"/>
            <w:tcBorders>
              <w:top w:val="single" w:sz="18" w:space="0" w:color="auto"/>
            </w:tcBorders>
            <w:shd w:val="clear" w:color="auto" w:fill="FFE599" w:themeFill="accent4" w:themeFillTint="66"/>
          </w:tcPr>
          <w:p w14:paraId="27E84144" w14:textId="670AC314" w:rsidR="00684191" w:rsidRDefault="00684191" w:rsidP="00684191">
            <w:pPr>
              <w:spacing w:after="200"/>
            </w:pPr>
            <w:r>
              <w:t>(3) Right to Express and Informed Patient Consent</w:t>
            </w:r>
          </w:p>
        </w:tc>
        <w:tc>
          <w:tcPr>
            <w:tcW w:w="3653" w:type="dxa"/>
            <w:tcBorders>
              <w:top w:val="single" w:sz="18" w:space="0" w:color="auto"/>
            </w:tcBorders>
            <w:shd w:val="clear" w:color="auto" w:fill="FFE599" w:themeFill="accent4" w:themeFillTint="66"/>
          </w:tcPr>
          <w:p w14:paraId="141CA359" w14:textId="0772884C" w:rsidR="00684191" w:rsidRDefault="00684191" w:rsidP="00684191">
            <w:pPr>
              <w:spacing w:after="200"/>
            </w:pPr>
          </w:p>
        </w:tc>
        <w:tc>
          <w:tcPr>
            <w:tcW w:w="3653" w:type="dxa"/>
            <w:tcBorders>
              <w:top w:val="single" w:sz="18" w:space="0" w:color="auto"/>
            </w:tcBorders>
            <w:shd w:val="clear" w:color="auto" w:fill="FFE599" w:themeFill="accent4" w:themeFillTint="66"/>
          </w:tcPr>
          <w:p w14:paraId="60538E22" w14:textId="5E00DA4E" w:rsidR="00684191" w:rsidRDefault="00684191" w:rsidP="00684191">
            <w:pPr>
              <w:spacing w:after="200"/>
            </w:pPr>
            <w:r>
              <w:t>Section 1K.2 - Informed Consent</w:t>
            </w:r>
          </w:p>
        </w:tc>
        <w:tc>
          <w:tcPr>
            <w:tcW w:w="3653" w:type="dxa"/>
            <w:tcBorders>
              <w:top w:val="single" w:sz="18" w:space="0" w:color="auto"/>
            </w:tcBorders>
            <w:shd w:val="clear" w:color="auto" w:fill="FFE599" w:themeFill="accent4" w:themeFillTint="66"/>
          </w:tcPr>
          <w:p w14:paraId="6A75FE27" w14:textId="77777777" w:rsidR="00684191" w:rsidRDefault="00684191" w:rsidP="00684191">
            <w:pPr>
              <w:spacing w:after="200"/>
            </w:pPr>
            <w:r>
              <w:t>Informed Consent</w:t>
            </w:r>
          </w:p>
          <w:p w14:paraId="00808DF7" w14:textId="443CE87D" w:rsidR="00684191" w:rsidRDefault="00684191" w:rsidP="00684191">
            <w:pPr>
              <w:spacing w:after="200"/>
            </w:pPr>
          </w:p>
        </w:tc>
      </w:tr>
      <w:tr w:rsidR="00684191" w14:paraId="7A169C6C" w14:textId="77777777" w:rsidTr="001E6B20">
        <w:tc>
          <w:tcPr>
            <w:tcW w:w="3653" w:type="dxa"/>
          </w:tcPr>
          <w:p w14:paraId="4911B9CC" w14:textId="2ECC63F7" w:rsidR="00684191" w:rsidRDefault="00684191" w:rsidP="00684191">
            <w:pPr>
              <w:spacing w:after="200"/>
            </w:pPr>
            <w:r>
              <w:t>Shall be asked to give express and informed consent at admission</w:t>
            </w:r>
          </w:p>
        </w:tc>
        <w:tc>
          <w:tcPr>
            <w:tcW w:w="3653" w:type="dxa"/>
          </w:tcPr>
          <w:p w14:paraId="4D6D57A2" w14:textId="3222CA9E" w:rsidR="00684191" w:rsidRDefault="00684191" w:rsidP="00684191">
            <w:pPr>
              <w:spacing w:after="200"/>
            </w:pPr>
            <w:r>
              <w:t>Shall be asked to give express and informed consent at admission</w:t>
            </w:r>
          </w:p>
        </w:tc>
        <w:tc>
          <w:tcPr>
            <w:tcW w:w="3653" w:type="dxa"/>
            <w:shd w:val="clear" w:color="auto" w:fill="BFBFBF" w:themeFill="background1" w:themeFillShade="BF"/>
          </w:tcPr>
          <w:p w14:paraId="69836F6F" w14:textId="5FA15B76" w:rsidR="00684191" w:rsidRDefault="00684191" w:rsidP="00684191">
            <w:pPr>
              <w:spacing w:after="200"/>
            </w:pPr>
          </w:p>
        </w:tc>
        <w:tc>
          <w:tcPr>
            <w:tcW w:w="3653" w:type="dxa"/>
          </w:tcPr>
          <w:p w14:paraId="09DA32F7" w14:textId="59AC03B6" w:rsidR="00684191" w:rsidRDefault="00684191" w:rsidP="00684191">
            <w:pPr>
              <w:spacing w:after="200"/>
            </w:pPr>
          </w:p>
        </w:tc>
        <w:tc>
          <w:tcPr>
            <w:tcW w:w="3653" w:type="dxa"/>
          </w:tcPr>
          <w:p w14:paraId="12E1DE83" w14:textId="2A81093A" w:rsidR="00684191" w:rsidRDefault="00684191" w:rsidP="00684191">
            <w:pPr>
              <w:spacing w:after="200"/>
            </w:pPr>
            <w:r>
              <w:t>Provide services only with valid informed consent</w:t>
            </w:r>
          </w:p>
        </w:tc>
      </w:tr>
      <w:tr w:rsidR="00684191" w14:paraId="49872AC7" w14:textId="77777777" w:rsidTr="00684191">
        <w:tc>
          <w:tcPr>
            <w:tcW w:w="3653" w:type="dxa"/>
          </w:tcPr>
          <w:p w14:paraId="694105F6" w14:textId="5EED2CC4" w:rsidR="00684191" w:rsidRDefault="00684191" w:rsidP="00684191">
            <w:pPr>
              <w:spacing w:after="200"/>
            </w:pPr>
            <w:r>
              <w:t xml:space="preserve">If adjudicated incompetent or found to be incompetent to consent, consent is to be sought from guardian or from guardian advocate or health </w:t>
            </w:r>
            <w:r>
              <w:lastRenderedPageBreak/>
              <w:t>care surrogate or proxy</w:t>
            </w:r>
          </w:p>
        </w:tc>
        <w:tc>
          <w:tcPr>
            <w:tcW w:w="3653" w:type="dxa"/>
          </w:tcPr>
          <w:p w14:paraId="507BC269" w14:textId="660451E6" w:rsidR="00684191" w:rsidRDefault="00684191" w:rsidP="00684191">
            <w:pPr>
              <w:spacing w:after="200"/>
            </w:pPr>
            <w:r>
              <w:lastRenderedPageBreak/>
              <w:t xml:space="preserve">If adjudicated incompetent or found to be incompetent to consent, consent is to be sought from guardian </w:t>
            </w:r>
            <w:r>
              <w:lastRenderedPageBreak/>
              <w:t>or from guardian advocate</w:t>
            </w:r>
          </w:p>
        </w:tc>
        <w:tc>
          <w:tcPr>
            <w:tcW w:w="3653" w:type="dxa"/>
            <w:shd w:val="clear" w:color="auto" w:fill="F7CAAC" w:themeFill="accent2" w:themeFillTint="66"/>
          </w:tcPr>
          <w:p w14:paraId="00CA4034" w14:textId="772DFDFA" w:rsidR="00684191" w:rsidRDefault="00684191" w:rsidP="00684191">
            <w:pPr>
              <w:spacing w:after="200"/>
            </w:pPr>
            <w:r>
              <w:lastRenderedPageBreak/>
              <w:t xml:space="preserve">Involuntary treatment is addressed in 397, part V, including criteria, evaluations, disposition, and transfer </w:t>
            </w:r>
            <w:r>
              <w:lastRenderedPageBreak/>
              <w:t>from involuntary to voluntary</w:t>
            </w:r>
          </w:p>
        </w:tc>
        <w:tc>
          <w:tcPr>
            <w:tcW w:w="3653" w:type="dxa"/>
            <w:vMerge w:val="restart"/>
          </w:tcPr>
          <w:p w14:paraId="2E2FD819" w14:textId="3C8181E5" w:rsidR="00684191" w:rsidRDefault="00684191" w:rsidP="00684191">
            <w:pPr>
              <w:spacing w:after="200"/>
            </w:pPr>
            <w:r>
              <w:lastRenderedPageBreak/>
              <w:t>Standard 2A.8 - Program has policies to address situations when person served does not have legal decision-</w:t>
            </w:r>
            <w:r>
              <w:lastRenderedPageBreak/>
              <w:t xml:space="preserve">making authority </w:t>
            </w:r>
          </w:p>
        </w:tc>
        <w:tc>
          <w:tcPr>
            <w:tcW w:w="3653" w:type="dxa"/>
            <w:vMerge w:val="restart"/>
          </w:tcPr>
          <w:p w14:paraId="7C81F3C5" w14:textId="360B66F3" w:rsidR="00684191" w:rsidRDefault="00684191" w:rsidP="00684191">
            <w:pPr>
              <w:spacing w:after="200"/>
            </w:pPr>
            <w:r>
              <w:lastRenderedPageBreak/>
              <w:t xml:space="preserve">If client is unable to give consent, seek consent from appropriate third parties, seeking to assure third parties </w:t>
            </w:r>
            <w:r>
              <w:lastRenderedPageBreak/>
              <w:t>act in client’s best interests</w:t>
            </w:r>
          </w:p>
        </w:tc>
      </w:tr>
      <w:tr w:rsidR="00684191" w14:paraId="78E2AFE5" w14:textId="77777777" w:rsidTr="00684191">
        <w:tc>
          <w:tcPr>
            <w:tcW w:w="3653" w:type="dxa"/>
          </w:tcPr>
          <w:p w14:paraId="41397AD1" w14:textId="38AD7DB2" w:rsidR="00684191" w:rsidRDefault="00684191" w:rsidP="00684191">
            <w:pPr>
              <w:spacing w:after="200"/>
            </w:pPr>
            <w:r>
              <w:lastRenderedPageBreak/>
              <w:t>If a minor, consent must be sought from parent or legal guardian, and the minor’s consent is not required; Minors may seek outpatient crisis intervention without parental consent</w:t>
            </w:r>
          </w:p>
        </w:tc>
        <w:tc>
          <w:tcPr>
            <w:tcW w:w="3653" w:type="dxa"/>
          </w:tcPr>
          <w:p w14:paraId="6180F134" w14:textId="2CBB4838" w:rsidR="00684191" w:rsidRDefault="00684191" w:rsidP="00684191">
            <w:pPr>
              <w:spacing w:after="200"/>
            </w:pPr>
            <w:r>
              <w:t>If a minor, consent must be sought from parent or legal guardian, and the minor’s consent is not required; Minors may seek outpatient crisis intervention without parental consent</w:t>
            </w:r>
          </w:p>
        </w:tc>
        <w:tc>
          <w:tcPr>
            <w:tcW w:w="3653" w:type="dxa"/>
            <w:shd w:val="clear" w:color="auto" w:fill="F7CAAC" w:themeFill="accent2" w:themeFillTint="66"/>
          </w:tcPr>
          <w:p w14:paraId="2AB23AB9" w14:textId="5FA882C4" w:rsidR="00684191" w:rsidRDefault="00684191" w:rsidP="00684191">
            <w:pPr>
              <w:spacing w:after="200"/>
            </w:pPr>
            <w:r>
              <w:t>Right of minor to seek substance abuse treatment without parental consent is addressed in 397.601 (4)a</w:t>
            </w:r>
          </w:p>
        </w:tc>
        <w:tc>
          <w:tcPr>
            <w:tcW w:w="3653" w:type="dxa"/>
            <w:vMerge/>
          </w:tcPr>
          <w:p w14:paraId="5CFB4A94" w14:textId="564A432E" w:rsidR="00684191" w:rsidRDefault="00684191" w:rsidP="00684191">
            <w:pPr>
              <w:spacing w:after="200"/>
            </w:pPr>
          </w:p>
        </w:tc>
        <w:tc>
          <w:tcPr>
            <w:tcW w:w="3653" w:type="dxa"/>
            <w:vMerge/>
          </w:tcPr>
          <w:p w14:paraId="2F68E496" w14:textId="3DAC0438" w:rsidR="00684191" w:rsidRDefault="00684191" w:rsidP="00684191">
            <w:pPr>
              <w:spacing w:after="200"/>
            </w:pPr>
          </w:p>
        </w:tc>
      </w:tr>
      <w:tr w:rsidR="00684191" w14:paraId="341B964E" w14:textId="77777777" w:rsidTr="001E6B20">
        <w:tc>
          <w:tcPr>
            <w:tcW w:w="3653" w:type="dxa"/>
          </w:tcPr>
          <w:p w14:paraId="6351E969" w14:textId="77777777" w:rsidR="00684191" w:rsidRDefault="00684191" w:rsidP="00684191">
            <w:pPr>
              <w:spacing w:after="200"/>
            </w:pPr>
            <w:r>
              <w:t>Before giving consent, individual (or guardian/ guardian advocate / health care surrogate or proxy) must be informed of reason for admission, proposed treatment, purpose, common risks, benefits and side effects, specific dosage range for medication, alternative treatment modalities, approximate length of care, potential effects of stopping treatment, how treatment will be monitored, and right to revoke consent</w:t>
            </w:r>
          </w:p>
          <w:p w14:paraId="33F897CF" w14:textId="2EE5B947" w:rsidR="00684191" w:rsidRDefault="00684191" w:rsidP="00684191">
            <w:pPr>
              <w:spacing w:after="200"/>
            </w:pPr>
          </w:p>
        </w:tc>
        <w:tc>
          <w:tcPr>
            <w:tcW w:w="3653" w:type="dxa"/>
          </w:tcPr>
          <w:p w14:paraId="2B82E60B" w14:textId="59A44B9F" w:rsidR="00684191" w:rsidRDefault="00684191" w:rsidP="00684191">
            <w:pPr>
              <w:spacing w:after="200"/>
            </w:pPr>
            <w:r>
              <w:t>Before giving consent, patient (or guardian/ guardian advocate) must be informed of reason for admission, proposed treatment, purpose, common risks, benefits and side effects, specific dosage range for medication, alternative treatment modalities, approximate length of care, potential effects of stopping treatment, how treatment will be monitored, and right to revoke consent</w:t>
            </w:r>
          </w:p>
        </w:tc>
        <w:tc>
          <w:tcPr>
            <w:tcW w:w="3653" w:type="dxa"/>
            <w:shd w:val="clear" w:color="auto" w:fill="BFBFBF" w:themeFill="background1" w:themeFillShade="BF"/>
          </w:tcPr>
          <w:p w14:paraId="57C00598" w14:textId="2816659A" w:rsidR="00684191" w:rsidRDefault="00684191" w:rsidP="00684191">
            <w:pPr>
              <w:spacing w:after="200"/>
            </w:pPr>
          </w:p>
        </w:tc>
        <w:tc>
          <w:tcPr>
            <w:tcW w:w="3653" w:type="dxa"/>
          </w:tcPr>
          <w:p w14:paraId="243EE7ED" w14:textId="37C1BAEF" w:rsidR="00684191" w:rsidRDefault="00684191" w:rsidP="00684191">
            <w:pPr>
              <w:spacing w:after="200"/>
            </w:pPr>
            <w:r>
              <w:t>Section 1k.2 - Access to information pertinent to the person served in sufficient time to facilitate decision-making; Informed consent or refusal or expression of choice regarding:  Service delivery, release of information, concurrent services, composition of the service delivery team, involvement in research projects</w:t>
            </w:r>
          </w:p>
        </w:tc>
        <w:tc>
          <w:tcPr>
            <w:tcW w:w="3653" w:type="dxa"/>
          </w:tcPr>
          <w:p w14:paraId="1C543A8E" w14:textId="78118759" w:rsidR="00684191" w:rsidRDefault="00684191" w:rsidP="00684191">
            <w:pPr>
              <w:spacing w:after="200"/>
            </w:pPr>
            <w:r>
              <w:t>Inform clients of the right to refuse services; options for alternative services and referrals; give Information on extent of rights to refuse services if committed to treatment on an involuntary basis</w:t>
            </w:r>
          </w:p>
        </w:tc>
      </w:tr>
      <w:tr w:rsidR="00684191" w14:paraId="700B1695" w14:textId="77777777" w:rsidTr="001E6B20">
        <w:tc>
          <w:tcPr>
            <w:tcW w:w="3653" w:type="dxa"/>
          </w:tcPr>
          <w:p w14:paraId="778ED3AB" w14:textId="60E15186" w:rsidR="00684191" w:rsidRDefault="00684191" w:rsidP="00684191">
            <w:pPr>
              <w:spacing w:after="200"/>
            </w:pPr>
            <w:r>
              <w:t xml:space="preserve">If DCF is legal guardian or custodian, DCF must to get court order for ECT or other medical procedure when patient does not consent; </w:t>
            </w:r>
          </w:p>
        </w:tc>
        <w:tc>
          <w:tcPr>
            <w:tcW w:w="3653" w:type="dxa"/>
          </w:tcPr>
          <w:p w14:paraId="389C6816" w14:textId="77777777" w:rsidR="00684191" w:rsidRDefault="00684191" w:rsidP="00684191">
            <w:pPr>
              <w:spacing w:after="200"/>
            </w:pPr>
            <w:r>
              <w:t>Separate consent required for anesthesia or ECT, or requires specific court order if DCF is legal guardian or custodian and patient does not consent</w:t>
            </w:r>
          </w:p>
          <w:p w14:paraId="2162015C" w14:textId="7C6AB947" w:rsidR="00684191" w:rsidRDefault="00684191" w:rsidP="00684191">
            <w:pPr>
              <w:spacing w:after="200"/>
            </w:pPr>
          </w:p>
        </w:tc>
        <w:tc>
          <w:tcPr>
            <w:tcW w:w="3653" w:type="dxa"/>
            <w:shd w:val="clear" w:color="auto" w:fill="BFBFBF" w:themeFill="background1" w:themeFillShade="BF"/>
          </w:tcPr>
          <w:p w14:paraId="47DAE3CA" w14:textId="64C86884" w:rsidR="00684191" w:rsidRDefault="00684191" w:rsidP="00684191">
            <w:pPr>
              <w:spacing w:after="200"/>
            </w:pPr>
          </w:p>
        </w:tc>
        <w:tc>
          <w:tcPr>
            <w:tcW w:w="3653" w:type="dxa"/>
            <w:shd w:val="clear" w:color="auto" w:fill="auto"/>
          </w:tcPr>
          <w:p w14:paraId="40710A07" w14:textId="1F20E3AB" w:rsidR="00684191" w:rsidRDefault="00684191" w:rsidP="00684191">
            <w:pPr>
              <w:spacing w:after="200"/>
            </w:pPr>
            <w:r>
              <w:t>Section 2a.14 – Written procedures governing use of special treatments including ECT</w:t>
            </w:r>
          </w:p>
        </w:tc>
        <w:tc>
          <w:tcPr>
            <w:tcW w:w="3653" w:type="dxa"/>
            <w:shd w:val="clear" w:color="auto" w:fill="BFBFBF" w:themeFill="background1" w:themeFillShade="BF"/>
          </w:tcPr>
          <w:p w14:paraId="4B9A87DB" w14:textId="73225EDD" w:rsidR="00684191" w:rsidRDefault="00684191" w:rsidP="00684191">
            <w:pPr>
              <w:spacing w:after="200"/>
            </w:pPr>
          </w:p>
        </w:tc>
      </w:tr>
      <w:tr w:rsidR="00684191" w14:paraId="0C134C94" w14:textId="77777777" w:rsidTr="001E6B20">
        <w:tc>
          <w:tcPr>
            <w:tcW w:w="3653" w:type="dxa"/>
            <w:tcBorders>
              <w:bottom w:val="single" w:sz="18" w:space="0" w:color="auto"/>
            </w:tcBorders>
          </w:tcPr>
          <w:p w14:paraId="72BD8208" w14:textId="34B5F13F" w:rsidR="00684191" w:rsidRDefault="00684191" w:rsidP="00684191">
            <w:pPr>
              <w:spacing w:after="200"/>
            </w:pPr>
            <w:r>
              <w:t xml:space="preserve">Administrator of receiving or treatment facility may authorize </w:t>
            </w:r>
            <w:r>
              <w:lastRenderedPageBreak/>
              <w:t>emergency medical treatment if deemed life-saving or to avoid serious bodily harm</w:t>
            </w:r>
          </w:p>
        </w:tc>
        <w:tc>
          <w:tcPr>
            <w:tcW w:w="3653" w:type="dxa"/>
            <w:tcBorders>
              <w:bottom w:val="single" w:sz="18" w:space="0" w:color="auto"/>
            </w:tcBorders>
          </w:tcPr>
          <w:p w14:paraId="746E4418" w14:textId="21289C3F" w:rsidR="00684191" w:rsidRDefault="00684191" w:rsidP="00684191">
            <w:pPr>
              <w:spacing w:after="200"/>
            </w:pPr>
            <w:r>
              <w:lastRenderedPageBreak/>
              <w:t xml:space="preserve">Administrator of receiving or treatment facility may authorize </w:t>
            </w:r>
            <w:r>
              <w:lastRenderedPageBreak/>
              <w:t>emergency medical treatment if deemed life-saving or to avoid serious bodily harm</w:t>
            </w:r>
          </w:p>
        </w:tc>
        <w:tc>
          <w:tcPr>
            <w:tcW w:w="3653" w:type="dxa"/>
            <w:tcBorders>
              <w:bottom w:val="single" w:sz="18" w:space="0" w:color="auto"/>
            </w:tcBorders>
            <w:shd w:val="clear" w:color="auto" w:fill="BFBFBF" w:themeFill="background1" w:themeFillShade="BF"/>
          </w:tcPr>
          <w:p w14:paraId="45374820" w14:textId="3E43275A" w:rsidR="00684191" w:rsidRDefault="00684191" w:rsidP="00684191">
            <w:pPr>
              <w:spacing w:after="200"/>
            </w:pPr>
          </w:p>
        </w:tc>
        <w:tc>
          <w:tcPr>
            <w:tcW w:w="3653" w:type="dxa"/>
            <w:tcBorders>
              <w:bottom w:val="single" w:sz="18" w:space="0" w:color="auto"/>
            </w:tcBorders>
            <w:shd w:val="clear" w:color="auto" w:fill="BFBFBF" w:themeFill="background1" w:themeFillShade="BF"/>
          </w:tcPr>
          <w:p w14:paraId="70869509" w14:textId="6E45A130" w:rsidR="00684191" w:rsidRDefault="00684191" w:rsidP="00684191">
            <w:pPr>
              <w:spacing w:after="200"/>
            </w:pPr>
          </w:p>
        </w:tc>
        <w:tc>
          <w:tcPr>
            <w:tcW w:w="3653" w:type="dxa"/>
            <w:tcBorders>
              <w:bottom w:val="single" w:sz="18" w:space="0" w:color="auto"/>
            </w:tcBorders>
            <w:shd w:val="clear" w:color="auto" w:fill="BFBFBF" w:themeFill="background1" w:themeFillShade="BF"/>
          </w:tcPr>
          <w:p w14:paraId="76107945" w14:textId="67FAB8E8" w:rsidR="00684191" w:rsidRDefault="00684191" w:rsidP="00684191">
            <w:pPr>
              <w:spacing w:after="200"/>
            </w:pPr>
          </w:p>
        </w:tc>
      </w:tr>
      <w:tr w:rsidR="00684191" w14:paraId="4C998507" w14:textId="77777777" w:rsidTr="001E6B20">
        <w:tc>
          <w:tcPr>
            <w:tcW w:w="3653" w:type="dxa"/>
            <w:tcBorders>
              <w:top w:val="single" w:sz="18" w:space="0" w:color="auto"/>
            </w:tcBorders>
            <w:shd w:val="clear" w:color="auto" w:fill="FFE599" w:themeFill="accent4" w:themeFillTint="66"/>
          </w:tcPr>
          <w:p w14:paraId="0968334C" w14:textId="41E2FBD6" w:rsidR="00684191" w:rsidRDefault="00684191" w:rsidP="00684191">
            <w:pPr>
              <w:spacing w:after="200"/>
            </w:pPr>
            <w:r>
              <w:lastRenderedPageBreak/>
              <w:t>(5) Quality of Treatment</w:t>
            </w:r>
          </w:p>
        </w:tc>
        <w:tc>
          <w:tcPr>
            <w:tcW w:w="3653" w:type="dxa"/>
            <w:tcBorders>
              <w:top w:val="single" w:sz="18" w:space="0" w:color="auto"/>
            </w:tcBorders>
            <w:shd w:val="clear" w:color="auto" w:fill="FFE599" w:themeFill="accent4" w:themeFillTint="66"/>
          </w:tcPr>
          <w:p w14:paraId="5B6D6E8E" w14:textId="39594DB2" w:rsidR="00684191" w:rsidRDefault="00684191" w:rsidP="00684191">
            <w:pPr>
              <w:spacing w:after="200"/>
            </w:pPr>
            <w:r>
              <w:t>(4) Quality of Treatment</w:t>
            </w:r>
          </w:p>
        </w:tc>
        <w:tc>
          <w:tcPr>
            <w:tcW w:w="3653" w:type="dxa"/>
            <w:tcBorders>
              <w:top w:val="single" w:sz="18" w:space="0" w:color="auto"/>
            </w:tcBorders>
            <w:shd w:val="clear" w:color="auto" w:fill="FFE599" w:themeFill="accent4" w:themeFillTint="66"/>
          </w:tcPr>
          <w:p w14:paraId="10371E8C" w14:textId="6A9F6616" w:rsidR="00684191" w:rsidRDefault="00684191" w:rsidP="00684191">
            <w:pPr>
              <w:spacing w:after="200"/>
            </w:pPr>
            <w:r>
              <w:t>(3) Right to Quality Services</w:t>
            </w:r>
          </w:p>
        </w:tc>
        <w:tc>
          <w:tcPr>
            <w:tcW w:w="3653" w:type="dxa"/>
            <w:tcBorders>
              <w:top w:val="single" w:sz="18" w:space="0" w:color="auto"/>
            </w:tcBorders>
            <w:shd w:val="clear" w:color="auto" w:fill="FFE599" w:themeFill="accent4" w:themeFillTint="66"/>
          </w:tcPr>
          <w:p w14:paraId="44D5B612" w14:textId="6696316F" w:rsidR="00684191" w:rsidRDefault="00684191" w:rsidP="00684191">
            <w:pPr>
              <w:spacing w:after="200"/>
            </w:pPr>
            <w:r>
              <w:t>Right to Quality Services</w:t>
            </w:r>
          </w:p>
        </w:tc>
        <w:tc>
          <w:tcPr>
            <w:tcW w:w="3653" w:type="dxa"/>
            <w:tcBorders>
              <w:top w:val="single" w:sz="18" w:space="0" w:color="auto"/>
            </w:tcBorders>
            <w:shd w:val="clear" w:color="auto" w:fill="FFE599" w:themeFill="accent4" w:themeFillTint="66"/>
          </w:tcPr>
          <w:p w14:paraId="55B69BFE" w14:textId="5C89C8F2" w:rsidR="00684191" w:rsidRDefault="00684191" w:rsidP="00684191">
            <w:pPr>
              <w:spacing w:after="200"/>
            </w:pPr>
            <w:r>
              <w:t>Right to Quality Treatment</w:t>
            </w:r>
          </w:p>
        </w:tc>
      </w:tr>
      <w:tr w:rsidR="00684191" w14:paraId="3AD40C86" w14:textId="77777777" w:rsidTr="001E6B20">
        <w:tc>
          <w:tcPr>
            <w:tcW w:w="3653" w:type="dxa"/>
          </w:tcPr>
          <w:p w14:paraId="65667001" w14:textId="3619779E" w:rsidR="00684191" w:rsidRDefault="00684191" w:rsidP="00684191">
            <w:pPr>
              <w:spacing w:after="200"/>
            </w:pPr>
            <w:r>
              <w:t>Suited to patient needs, delivered skillfully, humanely, safely with respect for dignity</w:t>
            </w:r>
          </w:p>
        </w:tc>
        <w:tc>
          <w:tcPr>
            <w:tcW w:w="3653" w:type="dxa"/>
          </w:tcPr>
          <w:p w14:paraId="38913090" w14:textId="1F037B1A" w:rsidR="00684191" w:rsidRDefault="00684191" w:rsidP="00684191">
            <w:pPr>
              <w:spacing w:after="200"/>
            </w:pPr>
            <w:r>
              <w:t>Suited to patient needs, delivered skillfully, humanely, safely with respect for dignity</w:t>
            </w:r>
          </w:p>
        </w:tc>
        <w:tc>
          <w:tcPr>
            <w:tcW w:w="3653" w:type="dxa"/>
          </w:tcPr>
          <w:p w14:paraId="3500E80B" w14:textId="001C59AD" w:rsidR="00684191" w:rsidRDefault="00684191" w:rsidP="00684191">
            <w:pPr>
              <w:spacing w:after="200"/>
            </w:pPr>
            <w:r>
              <w:t>Suited to individual needs, delivered skillfully, humanely, safely with respect for dignity</w:t>
            </w:r>
          </w:p>
        </w:tc>
        <w:tc>
          <w:tcPr>
            <w:tcW w:w="3653" w:type="dxa"/>
          </w:tcPr>
          <w:p w14:paraId="75ED5E0F" w14:textId="7D6FDC13" w:rsidR="00684191" w:rsidRDefault="00684191" w:rsidP="00684191">
            <w:pPr>
              <w:spacing w:after="200"/>
            </w:pPr>
          </w:p>
        </w:tc>
        <w:tc>
          <w:tcPr>
            <w:tcW w:w="3653" w:type="dxa"/>
          </w:tcPr>
          <w:p w14:paraId="2E3E6534" w14:textId="381568D7" w:rsidR="00684191" w:rsidRDefault="00684191" w:rsidP="00684191">
            <w:pPr>
              <w:spacing w:after="200"/>
            </w:pPr>
            <w:r>
              <w:t>Practice within boundaries of education, training, license, supervised experience</w:t>
            </w:r>
          </w:p>
        </w:tc>
      </w:tr>
      <w:tr w:rsidR="00684191" w14:paraId="1454BDA9" w14:textId="77777777" w:rsidTr="001E6B20">
        <w:tc>
          <w:tcPr>
            <w:tcW w:w="3653" w:type="dxa"/>
          </w:tcPr>
          <w:p w14:paraId="2EBCE098" w14:textId="6FE016A1" w:rsidR="00684191" w:rsidRDefault="00684191" w:rsidP="00684191">
            <w:pPr>
              <w:spacing w:after="200"/>
            </w:pPr>
            <w:r>
              <w:t>Department shall coordinate MH programs with other DCF programs and state agencies</w:t>
            </w:r>
          </w:p>
        </w:tc>
        <w:tc>
          <w:tcPr>
            <w:tcW w:w="3653" w:type="dxa"/>
          </w:tcPr>
          <w:p w14:paraId="73F13888" w14:textId="5658502B" w:rsidR="00684191" w:rsidRDefault="00684191" w:rsidP="00684191">
            <w:pPr>
              <w:spacing w:after="200"/>
            </w:pPr>
            <w:r>
              <w:t>Department shall coordinate MH programs with other DCF programs and state agencies</w:t>
            </w:r>
          </w:p>
        </w:tc>
        <w:tc>
          <w:tcPr>
            <w:tcW w:w="3653" w:type="dxa"/>
            <w:shd w:val="clear" w:color="auto" w:fill="BFBFBF" w:themeFill="background1" w:themeFillShade="BF"/>
          </w:tcPr>
          <w:p w14:paraId="5283FAB1" w14:textId="23965FF2" w:rsidR="00684191" w:rsidRDefault="00684191" w:rsidP="00684191">
            <w:pPr>
              <w:spacing w:after="200"/>
            </w:pPr>
          </w:p>
        </w:tc>
        <w:tc>
          <w:tcPr>
            <w:tcW w:w="3653" w:type="dxa"/>
            <w:shd w:val="clear" w:color="auto" w:fill="BFBFBF" w:themeFill="background1" w:themeFillShade="BF"/>
          </w:tcPr>
          <w:p w14:paraId="0E309381" w14:textId="2671A75B" w:rsidR="00684191" w:rsidRDefault="00684191" w:rsidP="00684191">
            <w:pPr>
              <w:spacing w:after="200"/>
            </w:pPr>
          </w:p>
        </w:tc>
        <w:tc>
          <w:tcPr>
            <w:tcW w:w="3653" w:type="dxa"/>
            <w:shd w:val="clear" w:color="auto" w:fill="BFBFBF" w:themeFill="background1" w:themeFillShade="BF"/>
          </w:tcPr>
          <w:p w14:paraId="789784FD" w14:textId="331549C7" w:rsidR="00684191" w:rsidRDefault="00684191" w:rsidP="00684191">
            <w:pPr>
              <w:spacing w:after="200"/>
            </w:pPr>
          </w:p>
        </w:tc>
      </w:tr>
      <w:tr w:rsidR="00684191" w14:paraId="6959DC79" w14:textId="77777777" w:rsidTr="001E6B20">
        <w:tc>
          <w:tcPr>
            <w:tcW w:w="3653" w:type="dxa"/>
          </w:tcPr>
          <w:p w14:paraId="017ED18F" w14:textId="270FB20A" w:rsidR="00684191" w:rsidRDefault="00684191" w:rsidP="00684191">
            <w:pPr>
              <w:spacing w:after="200"/>
            </w:pPr>
            <w:r>
              <w:t>Facilities have criteria for use of any close supervision, restraint or seclusion, emergency treatment orders, and physical management</w:t>
            </w:r>
          </w:p>
        </w:tc>
        <w:tc>
          <w:tcPr>
            <w:tcW w:w="3653" w:type="dxa"/>
          </w:tcPr>
          <w:p w14:paraId="11FCCAC6" w14:textId="418AC612" w:rsidR="00684191" w:rsidRDefault="00684191" w:rsidP="00684191">
            <w:pPr>
              <w:spacing w:after="200"/>
            </w:pPr>
            <w:r>
              <w:t>Facilities have criteria for use of any close supervision, restraint or seclusion, emergency treatment orders, and physical management</w:t>
            </w:r>
          </w:p>
        </w:tc>
        <w:tc>
          <w:tcPr>
            <w:tcW w:w="3653" w:type="dxa"/>
          </w:tcPr>
          <w:p w14:paraId="29FBC142" w14:textId="2A8524C9" w:rsidR="00684191" w:rsidRDefault="00684191" w:rsidP="00684191">
            <w:pPr>
              <w:spacing w:after="200"/>
            </w:pPr>
            <w:r>
              <w:t>Services must include the use of methods and techniques to control aggressive behavior that poses an immediate threat to the individual or to other persons, includes use of restraints, seclusion, time-out, and other behavior management techniques; DCF must specify by rule methods that may be used and techniques that may be applied to control aggressive behavior and must specify by rule the physical facility requirements for seclusion rooms, including dimensions, safety features, methods of observation, and contents.</w:t>
            </w:r>
          </w:p>
        </w:tc>
        <w:tc>
          <w:tcPr>
            <w:tcW w:w="3653" w:type="dxa"/>
            <w:shd w:val="clear" w:color="auto" w:fill="auto"/>
          </w:tcPr>
          <w:p w14:paraId="22545BC0" w14:textId="35ACC058" w:rsidR="00684191" w:rsidRDefault="00684191" w:rsidP="00684191">
            <w:pPr>
              <w:spacing w:after="200"/>
            </w:pPr>
            <w:r>
              <w:t xml:space="preserve">Section 2a.13, 2f. 9, 10 - Policies and procedures that address positive approaches to behavioral interventions; govern use of seclusion/ restraint, and special treatment interventions; </w:t>
            </w:r>
          </w:p>
        </w:tc>
        <w:tc>
          <w:tcPr>
            <w:tcW w:w="3653" w:type="dxa"/>
            <w:shd w:val="clear" w:color="auto" w:fill="BFBFBF" w:themeFill="background1" w:themeFillShade="BF"/>
          </w:tcPr>
          <w:p w14:paraId="1950A23B" w14:textId="7754573B" w:rsidR="00684191" w:rsidRDefault="00684191" w:rsidP="00684191">
            <w:pPr>
              <w:spacing w:after="200"/>
            </w:pPr>
          </w:p>
        </w:tc>
      </w:tr>
      <w:tr w:rsidR="00684191" w14:paraId="663F721D" w14:textId="77777777" w:rsidTr="001E6B20">
        <w:tc>
          <w:tcPr>
            <w:tcW w:w="3653" w:type="dxa"/>
          </w:tcPr>
          <w:p w14:paraId="45B52156" w14:textId="1C90AC71" w:rsidR="00684191" w:rsidRDefault="00684191" w:rsidP="00684191">
            <w:pPr>
              <w:spacing w:after="200"/>
            </w:pPr>
            <w:r>
              <w:t xml:space="preserve">Facilities have procedures for documenting, monitoring, and clinical </w:t>
            </w:r>
            <w:r>
              <w:lastRenderedPageBreak/>
              <w:t>review of seclusion, restraint, ETOs</w:t>
            </w:r>
          </w:p>
        </w:tc>
        <w:tc>
          <w:tcPr>
            <w:tcW w:w="3653" w:type="dxa"/>
          </w:tcPr>
          <w:p w14:paraId="376BEB18" w14:textId="11AF29CC" w:rsidR="00684191" w:rsidRDefault="00684191" w:rsidP="00684191">
            <w:pPr>
              <w:spacing w:after="200"/>
            </w:pPr>
            <w:r>
              <w:lastRenderedPageBreak/>
              <w:t xml:space="preserve">Facilities have procedures for documenting, monitoring, and clinical </w:t>
            </w:r>
            <w:r>
              <w:lastRenderedPageBreak/>
              <w:t>review of seclusion, restraint, ETOs</w:t>
            </w:r>
          </w:p>
        </w:tc>
        <w:tc>
          <w:tcPr>
            <w:tcW w:w="3653" w:type="dxa"/>
            <w:shd w:val="clear" w:color="auto" w:fill="BFBFBF" w:themeFill="background1" w:themeFillShade="BF"/>
          </w:tcPr>
          <w:p w14:paraId="4226C917" w14:textId="20C49F58" w:rsidR="00684191" w:rsidRDefault="00684191" w:rsidP="00684191">
            <w:pPr>
              <w:spacing w:after="200"/>
            </w:pPr>
          </w:p>
        </w:tc>
        <w:tc>
          <w:tcPr>
            <w:tcW w:w="3653" w:type="dxa"/>
            <w:shd w:val="clear" w:color="auto" w:fill="auto"/>
          </w:tcPr>
          <w:p w14:paraId="66A1EB81" w14:textId="52784E8E" w:rsidR="00684191" w:rsidRDefault="00684191" w:rsidP="00684191">
            <w:pPr>
              <w:spacing w:after="200"/>
            </w:pPr>
            <w:r>
              <w:t xml:space="preserve">Section 2.f. 4, 5, 13 - Procedures to monitor and review use of seclusion </w:t>
            </w:r>
            <w:r>
              <w:lastRenderedPageBreak/>
              <w:t>and restraint, plan to reduce incidents of use; always reported as a critical incident</w:t>
            </w:r>
          </w:p>
        </w:tc>
        <w:tc>
          <w:tcPr>
            <w:tcW w:w="3653" w:type="dxa"/>
            <w:shd w:val="clear" w:color="auto" w:fill="BFBFBF" w:themeFill="background1" w:themeFillShade="BF"/>
          </w:tcPr>
          <w:p w14:paraId="6CD4A47A" w14:textId="271C6701" w:rsidR="00684191" w:rsidRDefault="00684191" w:rsidP="00684191">
            <w:pPr>
              <w:spacing w:after="200"/>
            </w:pPr>
          </w:p>
        </w:tc>
      </w:tr>
      <w:tr w:rsidR="00684191" w14:paraId="790D44ED" w14:textId="77777777" w:rsidTr="00AF02CA">
        <w:tc>
          <w:tcPr>
            <w:tcW w:w="3653" w:type="dxa"/>
          </w:tcPr>
          <w:p w14:paraId="44652654" w14:textId="6D4A1E47" w:rsidR="00684191" w:rsidRDefault="00684191" w:rsidP="00684191">
            <w:pPr>
              <w:spacing w:after="200"/>
            </w:pPr>
            <w:r>
              <w:lastRenderedPageBreak/>
              <w:t>System for investigating, tracking, managing, and responding to complaints by individuals receiving services or persons acting on their behalf</w:t>
            </w:r>
          </w:p>
        </w:tc>
        <w:tc>
          <w:tcPr>
            <w:tcW w:w="3653" w:type="dxa"/>
          </w:tcPr>
          <w:p w14:paraId="27204FFB" w14:textId="0C53B456" w:rsidR="00684191" w:rsidRDefault="00684191" w:rsidP="00684191">
            <w:pPr>
              <w:spacing w:after="200"/>
            </w:pPr>
            <w:r>
              <w:t>System for investigating, tracking, managing, and responding to complaints by individuals receiving services or persons acting on their behalf</w:t>
            </w:r>
          </w:p>
        </w:tc>
        <w:tc>
          <w:tcPr>
            <w:tcW w:w="3653" w:type="dxa"/>
            <w:shd w:val="clear" w:color="auto" w:fill="F7CAAC" w:themeFill="accent2" w:themeFillTint="66"/>
          </w:tcPr>
          <w:p w14:paraId="1DA90F20" w14:textId="40E96859" w:rsidR="00684191" w:rsidRDefault="00AF02CA" w:rsidP="00684191">
            <w:pPr>
              <w:spacing w:after="200"/>
            </w:pPr>
            <w:r>
              <w:t>Addressed in 397.419, Quality Improvement programs</w:t>
            </w:r>
          </w:p>
        </w:tc>
        <w:tc>
          <w:tcPr>
            <w:tcW w:w="3653" w:type="dxa"/>
          </w:tcPr>
          <w:p w14:paraId="57687AD6" w14:textId="140C416F" w:rsidR="00684191" w:rsidRDefault="00684191" w:rsidP="00684191">
            <w:pPr>
              <w:spacing w:after="200"/>
            </w:pPr>
            <w:r>
              <w:t>Section 1k.3 - Investigation and resolution of alleged infringement of rights, without fear of retaliation or barriers to services; levels of review for grievances; time frames; rights and responsibilities of each party; availability of advocates; Section 1k.4 – written analysis of all formal complaints</w:t>
            </w:r>
          </w:p>
        </w:tc>
        <w:tc>
          <w:tcPr>
            <w:tcW w:w="3653" w:type="dxa"/>
          </w:tcPr>
          <w:p w14:paraId="5E3D4513" w14:textId="316F5BC8" w:rsidR="00684191" w:rsidRDefault="00684191" w:rsidP="00684191">
            <w:pPr>
              <w:spacing w:after="200"/>
            </w:pPr>
            <w:r>
              <w:t>Grievance procedures</w:t>
            </w:r>
          </w:p>
        </w:tc>
      </w:tr>
      <w:tr w:rsidR="00684191" w14:paraId="445A2B12" w14:textId="77777777" w:rsidTr="00AF02CA">
        <w:trPr>
          <w:trHeight w:val="2798"/>
        </w:trPr>
        <w:tc>
          <w:tcPr>
            <w:tcW w:w="3653" w:type="dxa"/>
          </w:tcPr>
          <w:p w14:paraId="7659A4BE" w14:textId="5E69CC59" w:rsidR="00684191" w:rsidRDefault="00684191" w:rsidP="00AF02CA">
            <w:r>
              <w:t>Reporting incidents to the managing entity:  Death, injury requiring medical treatment, unauthorized absence of involuntary client, disaster or crisis situation that jeopardizes health or safety of individuals examined or treated in a facility, allegation of sexual battery upon individual examined or treated in a facility</w:t>
            </w:r>
          </w:p>
        </w:tc>
        <w:tc>
          <w:tcPr>
            <w:tcW w:w="3653" w:type="dxa"/>
          </w:tcPr>
          <w:p w14:paraId="0D1A2BDE" w14:textId="01329390" w:rsidR="00684191" w:rsidRDefault="00684191" w:rsidP="00AF02CA"/>
        </w:tc>
        <w:tc>
          <w:tcPr>
            <w:tcW w:w="3653" w:type="dxa"/>
            <w:shd w:val="clear" w:color="auto" w:fill="F7CAAC" w:themeFill="accent2" w:themeFillTint="66"/>
          </w:tcPr>
          <w:p w14:paraId="40118930" w14:textId="795D26C0" w:rsidR="00684191" w:rsidRDefault="00AF02CA" w:rsidP="00AF02CA">
            <w:r>
              <w:t>Addressed in 397.419, Quality Improvement programs; incident reporting, analysis, systematic improvements</w:t>
            </w:r>
          </w:p>
        </w:tc>
        <w:tc>
          <w:tcPr>
            <w:tcW w:w="3653" w:type="dxa"/>
          </w:tcPr>
          <w:p w14:paraId="61EDE555" w14:textId="148F7A12" w:rsidR="00684191" w:rsidRDefault="00684191" w:rsidP="00AF02CA">
            <w:r>
              <w:t>Section 1g.1 - Risk management program, including actions to reduce risk; Section 1h.9 – Policies and procedures to report incidents, conduct written analysis</w:t>
            </w:r>
          </w:p>
        </w:tc>
        <w:tc>
          <w:tcPr>
            <w:tcW w:w="3653" w:type="dxa"/>
            <w:shd w:val="clear" w:color="auto" w:fill="BFBFBF" w:themeFill="background1" w:themeFillShade="BF"/>
          </w:tcPr>
          <w:p w14:paraId="7E83E995" w14:textId="33DA8694" w:rsidR="00684191" w:rsidRDefault="00684191" w:rsidP="00AF02CA"/>
        </w:tc>
      </w:tr>
      <w:tr w:rsidR="00684191" w14:paraId="70287A40" w14:textId="77777777" w:rsidTr="001E6B20">
        <w:tc>
          <w:tcPr>
            <w:tcW w:w="3653" w:type="dxa"/>
            <w:tcBorders>
              <w:bottom w:val="single" w:sz="18" w:space="0" w:color="auto"/>
            </w:tcBorders>
          </w:tcPr>
          <w:p w14:paraId="15FFCDED" w14:textId="492D1118" w:rsidR="00684191" w:rsidRDefault="00684191" w:rsidP="00684191">
            <w:pPr>
              <w:spacing w:after="200"/>
            </w:pPr>
            <w:r>
              <w:t>Policies and staff training on not using seclusion or restraint as punishment, to compensate for insufficient staff, or for staff convenience</w:t>
            </w:r>
          </w:p>
        </w:tc>
        <w:tc>
          <w:tcPr>
            <w:tcW w:w="3653" w:type="dxa"/>
            <w:tcBorders>
              <w:bottom w:val="single" w:sz="18" w:space="0" w:color="auto"/>
            </w:tcBorders>
          </w:tcPr>
          <w:p w14:paraId="52333D96" w14:textId="4D89AAE6" w:rsidR="00684191" w:rsidRDefault="00684191" w:rsidP="00684191">
            <w:pPr>
              <w:spacing w:after="200"/>
            </w:pPr>
            <w:r>
              <w:t>Policies and staff training on not using seclusion or restraint as punishment, to compensate for insufficient staff, or for staff convenience</w:t>
            </w:r>
          </w:p>
        </w:tc>
        <w:tc>
          <w:tcPr>
            <w:tcW w:w="3653" w:type="dxa"/>
            <w:tcBorders>
              <w:bottom w:val="single" w:sz="18" w:space="0" w:color="auto"/>
            </w:tcBorders>
          </w:tcPr>
          <w:p w14:paraId="12CE7A7D" w14:textId="75F48586" w:rsidR="00684191" w:rsidRDefault="00684191" w:rsidP="00AF02CA">
            <w:pPr>
              <w:spacing w:after="200"/>
            </w:pPr>
            <w:r>
              <w:t>When authorized, behavior management techniques may be applied only by persons who are employed by service providers and trained in the application and use of these methods and techniques</w:t>
            </w:r>
          </w:p>
        </w:tc>
        <w:tc>
          <w:tcPr>
            <w:tcW w:w="3653" w:type="dxa"/>
            <w:tcBorders>
              <w:bottom w:val="single" w:sz="18" w:space="0" w:color="auto"/>
            </w:tcBorders>
          </w:tcPr>
          <w:p w14:paraId="5973FDC4" w14:textId="6B9DF669" w:rsidR="00684191" w:rsidRDefault="00684191" w:rsidP="00684191">
            <w:pPr>
              <w:spacing w:after="200"/>
            </w:pPr>
            <w:r>
              <w:t>Section 2f.1, 2, 3 - Staff training in managing and responding to aggressive behaviors</w:t>
            </w:r>
          </w:p>
        </w:tc>
        <w:tc>
          <w:tcPr>
            <w:tcW w:w="3653" w:type="dxa"/>
            <w:tcBorders>
              <w:bottom w:val="single" w:sz="18" w:space="0" w:color="auto"/>
            </w:tcBorders>
          </w:tcPr>
          <w:p w14:paraId="51DB2E8E" w14:textId="77777777" w:rsidR="00684191" w:rsidRDefault="00684191" w:rsidP="00684191">
            <w:pPr>
              <w:spacing w:after="200"/>
            </w:pPr>
          </w:p>
        </w:tc>
      </w:tr>
      <w:tr w:rsidR="00684191" w14:paraId="60D6226C" w14:textId="77777777" w:rsidTr="001E6B20">
        <w:tc>
          <w:tcPr>
            <w:tcW w:w="3653" w:type="dxa"/>
            <w:tcBorders>
              <w:top w:val="single" w:sz="18" w:space="0" w:color="auto"/>
            </w:tcBorders>
            <w:shd w:val="clear" w:color="auto" w:fill="FFE599" w:themeFill="accent4" w:themeFillTint="66"/>
          </w:tcPr>
          <w:p w14:paraId="38355B3D" w14:textId="496FE8B3" w:rsidR="00684191" w:rsidRDefault="00684191" w:rsidP="00684191">
            <w:pPr>
              <w:spacing w:after="200"/>
            </w:pPr>
            <w:r>
              <w:t xml:space="preserve">(6) Communication, Abuse Reporting, </w:t>
            </w:r>
            <w:r>
              <w:lastRenderedPageBreak/>
              <w:t>and Visits</w:t>
            </w:r>
          </w:p>
        </w:tc>
        <w:tc>
          <w:tcPr>
            <w:tcW w:w="3653" w:type="dxa"/>
            <w:tcBorders>
              <w:top w:val="single" w:sz="18" w:space="0" w:color="auto"/>
            </w:tcBorders>
            <w:shd w:val="clear" w:color="auto" w:fill="FFE599" w:themeFill="accent4" w:themeFillTint="66"/>
          </w:tcPr>
          <w:p w14:paraId="5BE6CFAD" w14:textId="79D1D971" w:rsidR="00684191" w:rsidRDefault="00684191" w:rsidP="00684191">
            <w:pPr>
              <w:spacing w:after="200"/>
            </w:pPr>
            <w:r>
              <w:lastRenderedPageBreak/>
              <w:t xml:space="preserve">(5) Communication, Abuse Reporting, </w:t>
            </w:r>
            <w:r>
              <w:lastRenderedPageBreak/>
              <w:t>and Visits</w:t>
            </w:r>
          </w:p>
        </w:tc>
        <w:tc>
          <w:tcPr>
            <w:tcW w:w="3653" w:type="dxa"/>
            <w:tcBorders>
              <w:top w:val="single" w:sz="18" w:space="0" w:color="auto"/>
            </w:tcBorders>
            <w:shd w:val="clear" w:color="auto" w:fill="FFE599" w:themeFill="accent4" w:themeFillTint="66"/>
          </w:tcPr>
          <w:p w14:paraId="40BA0560" w14:textId="11AC40F9" w:rsidR="00684191" w:rsidRDefault="00684191" w:rsidP="00684191">
            <w:pPr>
              <w:spacing w:after="200"/>
            </w:pPr>
            <w:r>
              <w:lastRenderedPageBreak/>
              <w:t>(4) Right to Communication</w:t>
            </w:r>
          </w:p>
        </w:tc>
        <w:tc>
          <w:tcPr>
            <w:tcW w:w="3653" w:type="dxa"/>
            <w:tcBorders>
              <w:top w:val="single" w:sz="18" w:space="0" w:color="auto"/>
            </w:tcBorders>
            <w:shd w:val="clear" w:color="auto" w:fill="FFE599" w:themeFill="accent4" w:themeFillTint="66"/>
          </w:tcPr>
          <w:p w14:paraId="62690F01" w14:textId="2E9F0B16" w:rsidR="00684191" w:rsidRDefault="00684191" w:rsidP="00684191">
            <w:pPr>
              <w:spacing w:after="200"/>
            </w:pPr>
          </w:p>
        </w:tc>
        <w:tc>
          <w:tcPr>
            <w:tcW w:w="3653" w:type="dxa"/>
            <w:tcBorders>
              <w:top w:val="single" w:sz="18" w:space="0" w:color="auto"/>
            </w:tcBorders>
            <w:shd w:val="clear" w:color="auto" w:fill="FFE599" w:themeFill="accent4" w:themeFillTint="66"/>
          </w:tcPr>
          <w:p w14:paraId="73717BAB" w14:textId="67E0E919" w:rsidR="00684191" w:rsidRDefault="00684191" w:rsidP="00684191">
            <w:pPr>
              <w:spacing w:after="200"/>
            </w:pPr>
          </w:p>
        </w:tc>
      </w:tr>
      <w:tr w:rsidR="00684191" w14:paraId="763B63B5" w14:textId="77777777" w:rsidTr="001E6B20">
        <w:tc>
          <w:tcPr>
            <w:tcW w:w="3653" w:type="dxa"/>
          </w:tcPr>
          <w:p w14:paraId="1DE90C2B" w14:textId="3B7B57DD" w:rsidR="00684191" w:rsidRDefault="00684191" w:rsidP="00684191">
            <w:pPr>
              <w:spacing w:after="200"/>
            </w:pPr>
            <w:r>
              <w:lastRenderedPageBreak/>
              <w:t>Allow access, within reasonable rules, to make free local calls, and long distance at own expense; provide privacy for calls</w:t>
            </w:r>
          </w:p>
        </w:tc>
        <w:tc>
          <w:tcPr>
            <w:tcW w:w="3653" w:type="dxa"/>
          </w:tcPr>
          <w:p w14:paraId="11F36267" w14:textId="1D0F0CF1" w:rsidR="00684191" w:rsidRDefault="00684191" w:rsidP="00684191">
            <w:pPr>
              <w:spacing w:after="200"/>
            </w:pPr>
            <w:r>
              <w:t>Allow access, within reasonable rules, to make free local calls, and long distance at own expense; provide privacy for calls</w:t>
            </w:r>
          </w:p>
        </w:tc>
        <w:tc>
          <w:tcPr>
            <w:tcW w:w="3653" w:type="dxa"/>
          </w:tcPr>
          <w:p w14:paraId="4112C2BD" w14:textId="71D10E09" w:rsidR="00684191" w:rsidRDefault="00684191" w:rsidP="00684191">
            <w:pPr>
              <w:spacing w:after="200"/>
            </w:pPr>
            <w:r>
              <w:t>Each individual has the right to communicate freely and privately with other persons within the limitations imposed by service provider policy.</w:t>
            </w:r>
          </w:p>
        </w:tc>
        <w:tc>
          <w:tcPr>
            <w:tcW w:w="3653" w:type="dxa"/>
            <w:shd w:val="clear" w:color="auto" w:fill="auto"/>
          </w:tcPr>
          <w:p w14:paraId="444F3125" w14:textId="26AF010D" w:rsidR="00684191" w:rsidRDefault="00684191" w:rsidP="00684191">
            <w:pPr>
              <w:spacing w:after="200"/>
            </w:pPr>
            <w:r>
              <w:t>Section 2a.19 – Families are encouraged to participate through education and clinical programs; Section 3m.7 – Visitation, telephone policies</w:t>
            </w:r>
          </w:p>
        </w:tc>
        <w:tc>
          <w:tcPr>
            <w:tcW w:w="3653" w:type="dxa"/>
            <w:shd w:val="clear" w:color="auto" w:fill="BFBFBF" w:themeFill="background1" w:themeFillShade="BF"/>
          </w:tcPr>
          <w:p w14:paraId="2D1D43E4" w14:textId="0255754F" w:rsidR="00684191" w:rsidRDefault="00684191" w:rsidP="00684191">
            <w:pPr>
              <w:spacing w:after="200"/>
            </w:pPr>
          </w:p>
        </w:tc>
      </w:tr>
      <w:tr w:rsidR="00684191" w14:paraId="1A5CA2C2" w14:textId="77777777" w:rsidTr="001E6B20">
        <w:tc>
          <w:tcPr>
            <w:tcW w:w="3653" w:type="dxa"/>
          </w:tcPr>
          <w:p w14:paraId="4B0537F4" w14:textId="795967C9" w:rsidR="00684191" w:rsidRDefault="00684191" w:rsidP="00684191">
            <w:pPr>
              <w:spacing w:after="200"/>
            </w:pPr>
            <w:r>
              <w:t>Allow to send and receive mail unopened, unless there is reasonable belief mail contains potentially harmful substances/items</w:t>
            </w:r>
          </w:p>
        </w:tc>
        <w:tc>
          <w:tcPr>
            <w:tcW w:w="3653" w:type="dxa"/>
          </w:tcPr>
          <w:p w14:paraId="5F6D16A8" w14:textId="1EE05029" w:rsidR="00684191" w:rsidRDefault="00684191" w:rsidP="00684191">
            <w:pPr>
              <w:spacing w:after="200"/>
            </w:pPr>
            <w:r>
              <w:t>Allow to send and receive mail unopened, unless there is reasonable belief mail contains potentially harmful substances/items</w:t>
            </w:r>
          </w:p>
        </w:tc>
        <w:tc>
          <w:tcPr>
            <w:tcW w:w="3653" w:type="dxa"/>
            <w:vMerge w:val="restart"/>
          </w:tcPr>
          <w:p w14:paraId="770B0744" w14:textId="794C7E6C" w:rsidR="00684191" w:rsidRDefault="00684191" w:rsidP="00684191">
            <w:pPr>
              <w:spacing w:after="200"/>
            </w:pPr>
            <w:r>
              <w:t>Because the delivery of services can only be effective in a substance abuse free environment, close supervision of communications and correspondence is necessary, particularly in the initial stages of treatment, and the service provider must therefore set reasonable rules for telephone, mail, and visitation rights, giving primary consideration to the well-being and safety of individuals, staff, and the community; service provider informs individual and family if involved at admission about rules on communications and correspondence.</w:t>
            </w:r>
          </w:p>
        </w:tc>
        <w:tc>
          <w:tcPr>
            <w:tcW w:w="3653" w:type="dxa"/>
            <w:shd w:val="clear" w:color="auto" w:fill="auto"/>
          </w:tcPr>
          <w:p w14:paraId="36423F9E" w14:textId="6FB56A46" w:rsidR="00684191" w:rsidRDefault="00684191" w:rsidP="00684191">
            <w:pPr>
              <w:spacing w:after="200"/>
            </w:pPr>
            <w:r>
              <w:t>Section 3m.7 – Policies on mail</w:t>
            </w:r>
          </w:p>
        </w:tc>
        <w:tc>
          <w:tcPr>
            <w:tcW w:w="3653" w:type="dxa"/>
            <w:shd w:val="clear" w:color="auto" w:fill="BFBFBF" w:themeFill="background1" w:themeFillShade="BF"/>
          </w:tcPr>
          <w:p w14:paraId="268F5243" w14:textId="5ECC8E81" w:rsidR="00684191" w:rsidRDefault="00684191" w:rsidP="00684191">
            <w:pPr>
              <w:spacing w:after="200"/>
            </w:pPr>
          </w:p>
        </w:tc>
      </w:tr>
      <w:tr w:rsidR="00684191" w14:paraId="3079ABB3" w14:textId="77777777" w:rsidTr="001E6B20">
        <w:tc>
          <w:tcPr>
            <w:tcW w:w="3653" w:type="dxa"/>
          </w:tcPr>
          <w:p w14:paraId="1D3C9D71" w14:textId="00F2A5E8" w:rsidR="00684191" w:rsidRDefault="00684191" w:rsidP="00684191">
            <w:pPr>
              <w:spacing w:after="200"/>
            </w:pPr>
            <w:r>
              <w:t>Immediate access to visits by family, guardian or guardian advocate, advocacy council, or attorney; must give patient and representative written notice of restrictions on this right, and must be reviewed every 7 days; may not be restricted as punishment</w:t>
            </w:r>
          </w:p>
        </w:tc>
        <w:tc>
          <w:tcPr>
            <w:tcW w:w="3653" w:type="dxa"/>
          </w:tcPr>
          <w:p w14:paraId="6EDCB5E7" w14:textId="495731F9" w:rsidR="00684191" w:rsidRDefault="00684191" w:rsidP="00684191">
            <w:pPr>
              <w:spacing w:after="200"/>
            </w:pPr>
            <w:r>
              <w:t>Immediate access to visits by family, guardian or guardian advocate, advocacy council, or attorney; must give patient and representative written notice of restrictions on this right, and must be reviewed every 7 days; may not be restricted for punishment</w:t>
            </w:r>
          </w:p>
        </w:tc>
        <w:tc>
          <w:tcPr>
            <w:tcW w:w="3653" w:type="dxa"/>
            <w:vMerge/>
          </w:tcPr>
          <w:p w14:paraId="243B5F6C" w14:textId="4DCF5477" w:rsidR="00684191" w:rsidRDefault="00684191" w:rsidP="00684191">
            <w:pPr>
              <w:spacing w:after="200"/>
            </w:pPr>
          </w:p>
        </w:tc>
        <w:tc>
          <w:tcPr>
            <w:tcW w:w="3653" w:type="dxa"/>
          </w:tcPr>
          <w:p w14:paraId="69E9A6A5" w14:textId="1E2D3313" w:rsidR="00684191" w:rsidRDefault="00684191" w:rsidP="00684191">
            <w:pPr>
              <w:spacing w:after="200"/>
            </w:pPr>
            <w:r>
              <w:t>Section 1k.2 - Access or referral to advocacy support services; Access or referral to legal entities for appropriate representation</w:t>
            </w:r>
          </w:p>
        </w:tc>
        <w:tc>
          <w:tcPr>
            <w:tcW w:w="3653" w:type="dxa"/>
            <w:shd w:val="clear" w:color="auto" w:fill="BFBFBF" w:themeFill="background1" w:themeFillShade="BF"/>
          </w:tcPr>
          <w:p w14:paraId="43AAF9E8" w14:textId="68EBC913" w:rsidR="00684191" w:rsidRDefault="00684191" w:rsidP="00684191">
            <w:pPr>
              <w:spacing w:after="200"/>
            </w:pPr>
          </w:p>
        </w:tc>
      </w:tr>
      <w:tr w:rsidR="00684191" w14:paraId="5AAC847D" w14:textId="77777777" w:rsidTr="001E6B20">
        <w:tc>
          <w:tcPr>
            <w:tcW w:w="3653" w:type="dxa"/>
          </w:tcPr>
          <w:p w14:paraId="35008E3B" w14:textId="01644ED0" w:rsidR="00684191" w:rsidRDefault="00684191" w:rsidP="00684191">
            <w:pPr>
              <w:spacing w:after="200"/>
            </w:pPr>
            <w:r>
              <w:t>Facility may establish reasonable rules governing visitors, visiting hours, and use of phones, which must be in the least restrictive manner possible</w:t>
            </w:r>
          </w:p>
        </w:tc>
        <w:tc>
          <w:tcPr>
            <w:tcW w:w="3653" w:type="dxa"/>
          </w:tcPr>
          <w:p w14:paraId="46BCC5CC" w14:textId="71ABB63A" w:rsidR="00684191" w:rsidRDefault="00684191" w:rsidP="00684191">
            <w:pPr>
              <w:spacing w:after="200"/>
            </w:pPr>
            <w:r>
              <w:t>Facility may establish reasonable rules governing visitors, visiting hours, and use of phones, in least restrictive manner possible</w:t>
            </w:r>
          </w:p>
        </w:tc>
        <w:tc>
          <w:tcPr>
            <w:tcW w:w="3653" w:type="dxa"/>
            <w:vMerge/>
          </w:tcPr>
          <w:p w14:paraId="52FCFFCB" w14:textId="07855CFC" w:rsidR="00684191" w:rsidRDefault="00684191" w:rsidP="00684191">
            <w:pPr>
              <w:spacing w:after="200"/>
            </w:pPr>
          </w:p>
        </w:tc>
        <w:tc>
          <w:tcPr>
            <w:tcW w:w="3653" w:type="dxa"/>
            <w:shd w:val="clear" w:color="auto" w:fill="BFBFBF" w:themeFill="background1" w:themeFillShade="BF"/>
          </w:tcPr>
          <w:p w14:paraId="1BF74684" w14:textId="280A5209" w:rsidR="00684191" w:rsidRDefault="00684191" w:rsidP="00684191">
            <w:pPr>
              <w:spacing w:after="200"/>
            </w:pPr>
          </w:p>
        </w:tc>
        <w:tc>
          <w:tcPr>
            <w:tcW w:w="3653" w:type="dxa"/>
            <w:shd w:val="clear" w:color="auto" w:fill="BFBFBF" w:themeFill="background1" w:themeFillShade="BF"/>
          </w:tcPr>
          <w:p w14:paraId="7858EC0C" w14:textId="611630A8" w:rsidR="00684191" w:rsidRDefault="00684191" w:rsidP="00684191">
            <w:pPr>
              <w:spacing w:after="200"/>
            </w:pPr>
          </w:p>
        </w:tc>
      </w:tr>
      <w:tr w:rsidR="00684191" w14:paraId="067840F4" w14:textId="77777777" w:rsidTr="001E6B20">
        <w:tc>
          <w:tcPr>
            <w:tcW w:w="3653" w:type="dxa"/>
          </w:tcPr>
          <w:p w14:paraId="1F9E7B78" w14:textId="54E28D22" w:rsidR="00684191" w:rsidRDefault="00684191" w:rsidP="00684191">
            <w:pPr>
              <w:spacing w:after="200"/>
            </w:pPr>
            <w:r>
              <w:t xml:space="preserve">Access to telephone to report abuse at any time; abuse number posted in plain view; </w:t>
            </w:r>
          </w:p>
        </w:tc>
        <w:tc>
          <w:tcPr>
            <w:tcW w:w="3653" w:type="dxa"/>
          </w:tcPr>
          <w:p w14:paraId="276391B8" w14:textId="790706D4" w:rsidR="00684191" w:rsidRDefault="00684191" w:rsidP="00684191">
            <w:pPr>
              <w:spacing w:after="200"/>
            </w:pPr>
            <w:r>
              <w:t>Access to telephone to report abuse at any time; abuse number posted in plain view</w:t>
            </w:r>
          </w:p>
        </w:tc>
        <w:tc>
          <w:tcPr>
            <w:tcW w:w="3653" w:type="dxa"/>
            <w:shd w:val="clear" w:color="auto" w:fill="BFBFBF" w:themeFill="background1" w:themeFillShade="BF"/>
          </w:tcPr>
          <w:p w14:paraId="31D9FF4F" w14:textId="1D3AE6A5" w:rsidR="00684191" w:rsidRDefault="00684191" w:rsidP="00684191">
            <w:pPr>
              <w:spacing w:after="200"/>
            </w:pPr>
          </w:p>
        </w:tc>
        <w:tc>
          <w:tcPr>
            <w:tcW w:w="3653" w:type="dxa"/>
            <w:shd w:val="clear" w:color="auto" w:fill="BFBFBF" w:themeFill="background1" w:themeFillShade="BF"/>
          </w:tcPr>
          <w:p w14:paraId="72C850C3" w14:textId="4A5AFB72" w:rsidR="00684191" w:rsidRDefault="00684191" w:rsidP="00684191">
            <w:pPr>
              <w:spacing w:after="200"/>
            </w:pPr>
          </w:p>
        </w:tc>
        <w:tc>
          <w:tcPr>
            <w:tcW w:w="3653" w:type="dxa"/>
            <w:shd w:val="clear" w:color="auto" w:fill="BFBFBF" w:themeFill="background1" w:themeFillShade="BF"/>
          </w:tcPr>
          <w:p w14:paraId="09CF2CA6" w14:textId="5E1D7225" w:rsidR="00684191" w:rsidRDefault="00684191" w:rsidP="00684191">
            <w:pPr>
              <w:spacing w:after="200"/>
            </w:pPr>
          </w:p>
        </w:tc>
      </w:tr>
      <w:tr w:rsidR="00684191" w14:paraId="4A2E4F2D" w14:textId="77777777" w:rsidTr="001E6B20">
        <w:tc>
          <w:tcPr>
            <w:tcW w:w="3653" w:type="dxa"/>
            <w:tcBorders>
              <w:bottom w:val="single" w:sz="18" w:space="0" w:color="auto"/>
            </w:tcBorders>
          </w:tcPr>
          <w:p w14:paraId="20777BA8" w14:textId="3571C4F0" w:rsidR="00684191" w:rsidRDefault="00684191" w:rsidP="00684191">
            <w:pPr>
              <w:spacing w:after="200"/>
            </w:pPr>
            <w:r>
              <w:t>Train staff on requirements and procedures for abuse reporting</w:t>
            </w:r>
          </w:p>
        </w:tc>
        <w:tc>
          <w:tcPr>
            <w:tcW w:w="3653" w:type="dxa"/>
            <w:tcBorders>
              <w:bottom w:val="single" w:sz="18" w:space="0" w:color="auto"/>
            </w:tcBorders>
          </w:tcPr>
          <w:p w14:paraId="4E60841E" w14:textId="4FBF1AB5" w:rsidR="00684191" w:rsidRDefault="00684191" w:rsidP="00684191">
            <w:pPr>
              <w:spacing w:after="200"/>
            </w:pPr>
            <w:r>
              <w:t>Train staff on requirements and procedures for abuse reporting</w:t>
            </w:r>
          </w:p>
        </w:tc>
        <w:tc>
          <w:tcPr>
            <w:tcW w:w="3653" w:type="dxa"/>
            <w:tcBorders>
              <w:bottom w:val="single" w:sz="18" w:space="0" w:color="auto"/>
            </w:tcBorders>
            <w:shd w:val="clear" w:color="auto" w:fill="BFBFBF" w:themeFill="background1" w:themeFillShade="BF"/>
          </w:tcPr>
          <w:p w14:paraId="67B94491" w14:textId="3666820A" w:rsidR="00684191" w:rsidRDefault="00684191" w:rsidP="00684191">
            <w:pPr>
              <w:spacing w:after="200"/>
            </w:pPr>
          </w:p>
        </w:tc>
        <w:tc>
          <w:tcPr>
            <w:tcW w:w="3653" w:type="dxa"/>
            <w:tcBorders>
              <w:bottom w:val="single" w:sz="18" w:space="0" w:color="auto"/>
            </w:tcBorders>
            <w:shd w:val="clear" w:color="auto" w:fill="auto"/>
          </w:tcPr>
          <w:p w14:paraId="12014030" w14:textId="56A0C20C" w:rsidR="00684191" w:rsidRDefault="00684191" w:rsidP="00684191">
            <w:pPr>
              <w:spacing w:after="200"/>
            </w:pPr>
            <w:r>
              <w:t xml:space="preserve">Section 1L.5 - Train staff on requirements for reporting abuse and </w:t>
            </w:r>
            <w:r>
              <w:lastRenderedPageBreak/>
              <w:t>neglect</w:t>
            </w:r>
          </w:p>
        </w:tc>
        <w:tc>
          <w:tcPr>
            <w:tcW w:w="3653" w:type="dxa"/>
            <w:tcBorders>
              <w:bottom w:val="single" w:sz="18" w:space="0" w:color="auto"/>
            </w:tcBorders>
            <w:shd w:val="clear" w:color="auto" w:fill="BFBFBF" w:themeFill="background1" w:themeFillShade="BF"/>
          </w:tcPr>
          <w:p w14:paraId="55083D30" w14:textId="75BD03A0" w:rsidR="00684191" w:rsidRDefault="00684191" w:rsidP="00684191">
            <w:pPr>
              <w:spacing w:after="200"/>
            </w:pPr>
          </w:p>
        </w:tc>
      </w:tr>
      <w:tr w:rsidR="00684191" w14:paraId="5160EC56" w14:textId="77777777" w:rsidTr="001E6B20">
        <w:tc>
          <w:tcPr>
            <w:tcW w:w="3653" w:type="dxa"/>
            <w:tcBorders>
              <w:top w:val="single" w:sz="18" w:space="0" w:color="auto"/>
            </w:tcBorders>
            <w:shd w:val="clear" w:color="auto" w:fill="FFE599" w:themeFill="accent4" w:themeFillTint="66"/>
          </w:tcPr>
          <w:p w14:paraId="1192EAF3" w14:textId="691EE300" w:rsidR="00684191" w:rsidRDefault="00684191" w:rsidP="00684191">
            <w:pPr>
              <w:spacing w:after="200"/>
            </w:pPr>
            <w:r>
              <w:lastRenderedPageBreak/>
              <w:t>(7) Care and Custody of Personal Effects</w:t>
            </w:r>
          </w:p>
        </w:tc>
        <w:tc>
          <w:tcPr>
            <w:tcW w:w="3653" w:type="dxa"/>
            <w:tcBorders>
              <w:top w:val="single" w:sz="18" w:space="0" w:color="auto"/>
            </w:tcBorders>
            <w:shd w:val="clear" w:color="auto" w:fill="FFE599" w:themeFill="accent4" w:themeFillTint="66"/>
          </w:tcPr>
          <w:p w14:paraId="6DA045DD" w14:textId="2E270057" w:rsidR="00684191" w:rsidRDefault="00684191" w:rsidP="00684191">
            <w:pPr>
              <w:spacing w:after="200"/>
            </w:pPr>
            <w:r>
              <w:t>(6) Care and Custody of Personal Effects of Patients</w:t>
            </w:r>
          </w:p>
        </w:tc>
        <w:tc>
          <w:tcPr>
            <w:tcW w:w="3653" w:type="dxa"/>
            <w:tcBorders>
              <w:top w:val="single" w:sz="18" w:space="0" w:color="auto"/>
            </w:tcBorders>
            <w:shd w:val="clear" w:color="auto" w:fill="FFE599" w:themeFill="accent4" w:themeFillTint="66"/>
          </w:tcPr>
          <w:p w14:paraId="38A52B4B" w14:textId="565BB334" w:rsidR="00684191" w:rsidRDefault="00684191" w:rsidP="00684191">
            <w:pPr>
              <w:spacing w:after="200"/>
            </w:pPr>
            <w:r>
              <w:t>(5) Right to Care and Custody of Personal Effects</w:t>
            </w:r>
          </w:p>
        </w:tc>
        <w:tc>
          <w:tcPr>
            <w:tcW w:w="3653" w:type="dxa"/>
            <w:tcBorders>
              <w:top w:val="single" w:sz="18" w:space="0" w:color="auto"/>
            </w:tcBorders>
            <w:shd w:val="clear" w:color="auto" w:fill="FFE599" w:themeFill="accent4" w:themeFillTint="66"/>
          </w:tcPr>
          <w:p w14:paraId="0374D504" w14:textId="7EB21C14" w:rsidR="00684191" w:rsidRDefault="00684191" w:rsidP="00684191">
            <w:pPr>
              <w:spacing w:after="200"/>
            </w:pPr>
          </w:p>
        </w:tc>
        <w:tc>
          <w:tcPr>
            <w:tcW w:w="3653" w:type="dxa"/>
            <w:tcBorders>
              <w:top w:val="single" w:sz="18" w:space="0" w:color="auto"/>
            </w:tcBorders>
            <w:shd w:val="clear" w:color="auto" w:fill="FFE599" w:themeFill="accent4" w:themeFillTint="66"/>
          </w:tcPr>
          <w:p w14:paraId="341CAF94" w14:textId="293B5E0E" w:rsidR="00684191" w:rsidRDefault="00684191" w:rsidP="00684191">
            <w:pPr>
              <w:spacing w:after="200"/>
            </w:pPr>
          </w:p>
        </w:tc>
      </w:tr>
      <w:tr w:rsidR="00684191" w14:paraId="2602245A" w14:textId="77777777" w:rsidTr="001E6B20">
        <w:tc>
          <w:tcPr>
            <w:tcW w:w="3653" w:type="dxa"/>
            <w:tcBorders>
              <w:bottom w:val="single" w:sz="18" w:space="0" w:color="auto"/>
            </w:tcBorders>
          </w:tcPr>
          <w:p w14:paraId="22C959FD" w14:textId="0D54DDB8" w:rsidR="00684191" w:rsidRDefault="00684191" w:rsidP="00684191">
            <w:pPr>
              <w:spacing w:after="200"/>
            </w:pPr>
            <w:r>
              <w:t>Facility may only take personal effects for safety or medical reasons; must inventory and give copy to patient; inventory must be witnessed by two staff and patient; facility must return all personal effects unless detrimental to patient, and must document reasons anything is not returned; possessions must be transferred with patient or as soon as possible afterwards</w:t>
            </w:r>
          </w:p>
        </w:tc>
        <w:tc>
          <w:tcPr>
            <w:tcW w:w="3653" w:type="dxa"/>
            <w:tcBorders>
              <w:bottom w:val="single" w:sz="18" w:space="0" w:color="auto"/>
            </w:tcBorders>
          </w:tcPr>
          <w:p w14:paraId="0E5775B6" w14:textId="2944DE0D" w:rsidR="00684191" w:rsidRDefault="00684191" w:rsidP="00684191">
            <w:pPr>
              <w:spacing w:after="200"/>
            </w:pPr>
            <w:r>
              <w:t>Facility may only take personal effects for safety or medical reasons; must inventory and give copy to patient; inventory must be witnessed by two staff and patient; facility must return all personal effects unless detrimental to patient, and must document reasons anything is not returned; possessions must be transferred with patient or as soon as possible afterwards</w:t>
            </w:r>
          </w:p>
        </w:tc>
        <w:tc>
          <w:tcPr>
            <w:tcW w:w="3653" w:type="dxa"/>
            <w:tcBorders>
              <w:bottom w:val="single" w:sz="18" w:space="0" w:color="auto"/>
            </w:tcBorders>
          </w:tcPr>
          <w:p w14:paraId="0FF338F0" w14:textId="77777777" w:rsidR="00684191" w:rsidRDefault="00684191" w:rsidP="00684191">
            <w:pPr>
              <w:spacing w:after="200"/>
            </w:pPr>
            <w:r>
              <w:t>An individual has the right to possess clothing and other personal effects. The service provider may take temporary custody of the individual’s personal effects only when required for medical or safety reasons, with the reason for taking custody and a list of the personal effects recorded in the individual’s clinical record.</w:t>
            </w:r>
          </w:p>
          <w:p w14:paraId="4C4B921F" w14:textId="16F6AA62" w:rsidR="00684191" w:rsidRDefault="00684191" w:rsidP="00684191">
            <w:pPr>
              <w:spacing w:after="200"/>
            </w:pPr>
          </w:p>
        </w:tc>
        <w:tc>
          <w:tcPr>
            <w:tcW w:w="3653" w:type="dxa"/>
            <w:shd w:val="clear" w:color="auto" w:fill="BFBFBF" w:themeFill="background1" w:themeFillShade="BF"/>
          </w:tcPr>
          <w:p w14:paraId="285FE7E3" w14:textId="5C220160" w:rsidR="00684191" w:rsidRDefault="00684191" w:rsidP="00684191">
            <w:pPr>
              <w:spacing w:after="200"/>
            </w:pPr>
          </w:p>
        </w:tc>
        <w:tc>
          <w:tcPr>
            <w:tcW w:w="3653" w:type="dxa"/>
            <w:shd w:val="clear" w:color="auto" w:fill="BFBFBF" w:themeFill="background1" w:themeFillShade="BF"/>
          </w:tcPr>
          <w:p w14:paraId="024FC03E" w14:textId="387BF8D4" w:rsidR="00684191" w:rsidRDefault="00684191" w:rsidP="00684191">
            <w:pPr>
              <w:spacing w:after="200"/>
            </w:pPr>
          </w:p>
        </w:tc>
      </w:tr>
      <w:tr w:rsidR="00684191" w14:paraId="5472B9A8" w14:textId="77777777" w:rsidTr="001E6B20">
        <w:tc>
          <w:tcPr>
            <w:tcW w:w="3653" w:type="dxa"/>
            <w:tcBorders>
              <w:top w:val="single" w:sz="18" w:space="0" w:color="auto"/>
              <w:bottom w:val="single" w:sz="18" w:space="0" w:color="auto"/>
            </w:tcBorders>
            <w:shd w:val="clear" w:color="auto" w:fill="FFE599" w:themeFill="accent4" w:themeFillTint="66"/>
          </w:tcPr>
          <w:p w14:paraId="61F99F33" w14:textId="0BCA82F6" w:rsidR="00684191" w:rsidRDefault="00684191" w:rsidP="00684191">
            <w:pPr>
              <w:spacing w:after="200"/>
            </w:pPr>
            <w:r>
              <w:t>(8) Voting in Public Elections</w:t>
            </w:r>
          </w:p>
        </w:tc>
        <w:tc>
          <w:tcPr>
            <w:tcW w:w="3653" w:type="dxa"/>
            <w:tcBorders>
              <w:top w:val="single" w:sz="18" w:space="0" w:color="auto"/>
              <w:bottom w:val="single" w:sz="18" w:space="0" w:color="auto"/>
            </w:tcBorders>
            <w:shd w:val="clear" w:color="auto" w:fill="FFE599" w:themeFill="accent4" w:themeFillTint="66"/>
          </w:tcPr>
          <w:p w14:paraId="3B394898" w14:textId="0E1A342E" w:rsidR="00684191" w:rsidRDefault="00684191" w:rsidP="00684191">
            <w:pPr>
              <w:spacing w:after="200"/>
            </w:pPr>
            <w:r>
              <w:t>(7) Voting in Public Elections</w:t>
            </w:r>
          </w:p>
        </w:tc>
        <w:tc>
          <w:tcPr>
            <w:tcW w:w="3653" w:type="dxa"/>
            <w:tcBorders>
              <w:top w:val="single" w:sz="18" w:space="0" w:color="auto"/>
              <w:bottom w:val="single" w:sz="18" w:space="0" w:color="auto"/>
            </w:tcBorders>
            <w:shd w:val="clear" w:color="auto" w:fill="FFE599" w:themeFill="accent4" w:themeFillTint="66"/>
          </w:tcPr>
          <w:p w14:paraId="1FA2B607" w14:textId="621A5A48" w:rsidR="00684191" w:rsidRDefault="00684191" w:rsidP="00684191">
            <w:pPr>
              <w:spacing w:after="200"/>
            </w:pPr>
          </w:p>
        </w:tc>
        <w:tc>
          <w:tcPr>
            <w:tcW w:w="3653" w:type="dxa"/>
            <w:tcBorders>
              <w:top w:val="single" w:sz="18" w:space="0" w:color="auto"/>
              <w:bottom w:val="single" w:sz="18" w:space="0" w:color="auto"/>
            </w:tcBorders>
            <w:shd w:val="clear" w:color="auto" w:fill="FFE599" w:themeFill="accent4" w:themeFillTint="66"/>
          </w:tcPr>
          <w:p w14:paraId="3E686C6C" w14:textId="6B54AAE1" w:rsidR="00684191" w:rsidRDefault="00684191" w:rsidP="00684191">
            <w:pPr>
              <w:spacing w:after="200"/>
            </w:pPr>
          </w:p>
        </w:tc>
        <w:tc>
          <w:tcPr>
            <w:tcW w:w="3653" w:type="dxa"/>
            <w:tcBorders>
              <w:top w:val="single" w:sz="18" w:space="0" w:color="auto"/>
              <w:bottom w:val="single" w:sz="18" w:space="0" w:color="auto"/>
            </w:tcBorders>
            <w:shd w:val="clear" w:color="auto" w:fill="FFE599" w:themeFill="accent4" w:themeFillTint="66"/>
          </w:tcPr>
          <w:p w14:paraId="47144D64" w14:textId="2A38243A" w:rsidR="00684191" w:rsidRDefault="00684191" w:rsidP="00684191">
            <w:pPr>
              <w:spacing w:after="200"/>
            </w:pPr>
          </w:p>
        </w:tc>
      </w:tr>
      <w:tr w:rsidR="00684191" w14:paraId="3A7EAFCE" w14:textId="77777777" w:rsidTr="001E6B20">
        <w:tc>
          <w:tcPr>
            <w:tcW w:w="3653" w:type="dxa"/>
            <w:tcBorders>
              <w:top w:val="single" w:sz="18" w:space="0" w:color="auto"/>
              <w:bottom w:val="single" w:sz="18" w:space="0" w:color="auto"/>
            </w:tcBorders>
            <w:shd w:val="clear" w:color="auto" w:fill="FFE599" w:themeFill="accent4" w:themeFillTint="66"/>
          </w:tcPr>
          <w:p w14:paraId="20A05763" w14:textId="77777777" w:rsidR="00684191" w:rsidRDefault="00684191" w:rsidP="00684191">
            <w:pPr>
              <w:spacing w:after="200"/>
            </w:pPr>
          </w:p>
        </w:tc>
        <w:tc>
          <w:tcPr>
            <w:tcW w:w="3653" w:type="dxa"/>
            <w:tcBorders>
              <w:top w:val="single" w:sz="18" w:space="0" w:color="auto"/>
              <w:bottom w:val="single" w:sz="18" w:space="0" w:color="auto"/>
            </w:tcBorders>
            <w:shd w:val="clear" w:color="auto" w:fill="FFE599" w:themeFill="accent4" w:themeFillTint="66"/>
          </w:tcPr>
          <w:p w14:paraId="424524D1" w14:textId="77777777" w:rsidR="00684191" w:rsidRDefault="00684191" w:rsidP="00684191">
            <w:pPr>
              <w:spacing w:after="200"/>
            </w:pPr>
          </w:p>
        </w:tc>
        <w:tc>
          <w:tcPr>
            <w:tcW w:w="3653" w:type="dxa"/>
            <w:tcBorders>
              <w:top w:val="single" w:sz="18" w:space="0" w:color="auto"/>
              <w:bottom w:val="single" w:sz="18" w:space="0" w:color="auto"/>
            </w:tcBorders>
            <w:shd w:val="clear" w:color="auto" w:fill="FFE599" w:themeFill="accent4" w:themeFillTint="66"/>
          </w:tcPr>
          <w:p w14:paraId="088DCCCD" w14:textId="77777777" w:rsidR="00684191" w:rsidRDefault="00684191" w:rsidP="00684191">
            <w:pPr>
              <w:spacing w:after="200"/>
            </w:pPr>
            <w:r>
              <w:t>(</w:t>
            </w:r>
            <w:r w:rsidRPr="009232C4">
              <w:t>6) Right to Education of Minors – providers shall coordinate with local education agencies to provide appropriate education and training to minors in residential services</w:t>
            </w:r>
          </w:p>
          <w:p w14:paraId="71A23413" w14:textId="18D381B6" w:rsidR="00684191" w:rsidRDefault="00684191" w:rsidP="00684191">
            <w:pPr>
              <w:spacing w:after="200"/>
            </w:pPr>
          </w:p>
        </w:tc>
        <w:tc>
          <w:tcPr>
            <w:tcW w:w="3653" w:type="dxa"/>
            <w:tcBorders>
              <w:top w:val="single" w:sz="18" w:space="0" w:color="auto"/>
              <w:bottom w:val="single" w:sz="18" w:space="0" w:color="auto"/>
            </w:tcBorders>
            <w:shd w:val="clear" w:color="auto" w:fill="FFE599" w:themeFill="accent4" w:themeFillTint="66"/>
          </w:tcPr>
          <w:p w14:paraId="76B4A80C" w14:textId="7884F1E4" w:rsidR="00684191" w:rsidRDefault="00684191" w:rsidP="00684191">
            <w:pPr>
              <w:spacing w:after="200"/>
            </w:pPr>
            <w:r>
              <w:t>Section 4b.3, 4, 5 -  When services disrupt youth education, program provides or makes arrangements for continuity of education</w:t>
            </w:r>
          </w:p>
        </w:tc>
        <w:tc>
          <w:tcPr>
            <w:tcW w:w="3653" w:type="dxa"/>
            <w:tcBorders>
              <w:top w:val="single" w:sz="18" w:space="0" w:color="auto"/>
              <w:bottom w:val="single" w:sz="18" w:space="0" w:color="auto"/>
            </w:tcBorders>
            <w:shd w:val="clear" w:color="auto" w:fill="FFE599" w:themeFill="accent4" w:themeFillTint="66"/>
          </w:tcPr>
          <w:p w14:paraId="0B9FCAF9" w14:textId="77777777" w:rsidR="00684191" w:rsidRDefault="00684191" w:rsidP="00684191">
            <w:pPr>
              <w:spacing w:after="200"/>
            </w:pPr>
          </w:p>
        </w:tc>
      </w:tr>
      <w:tr w:rsidR="00684191" w14:paraId="21863DCE" w14:textId="77777777" w:rsidTr="001E6B20">
        <w:tc>
          <w:tcPr>
            <w:tcW w:w="3653" w:type="dxa"/>
            <w:tcBorders>
              <w:top w:val="single" w:sz="18" w:space="0" w:color="auto"/>
            </w:tcBorders>
            <w:shd w:val="clear" w:color="auto" w:fill="FFE599" w:themeFill="accent4" w:themeFillTint="66"/>
          </w:tcPr>
          <w:p w14:paraId="376011EB" w14:textId="77777777" w:rsidR="00684191" w:rsidRDefault="00684191" w:rsidP="00684191">
            <w:pPr>
              <w:spacing w:after="200"/>
            </w:pPr>
          </w:p>
        </w:tc>
        <w:tc>
          <w:tcPr>
            <w:tcW w:w="3653" w:type="dxa"/>
            <w:tcBorders>
              <w:top w:val="single" w:sz="18" w:space="0" w:color="auto"/>
            </w:tcBorders>
            <w:shd w:val="clear" w:color="auto" w:fill="FFE599" w:themeFill="accent4" w:themeFillTint="66"/>
          </w:tcPr>
          <w:p w14:paraId="7B9C477F" w14:textId="77777777" w:rsidR="00684191" w:rsidRDefault="00684191" w:rsidP="00684191">
            <w:pPr>
              <w:spacing w:after="200"/>
            </w:pPr>
          </w:p>
        </w:tc>
        <w:tc>
          <w:tcPr>
            <w:tcW w:w="3653" w:type="dxa"/>
            <w:tcBorders>
              <w:top w:val="single" w:sz="18" w:space="0" w:color="auto"/>
            </w:tcBorders>
            <w:shd w:val="clear" w:color="auto" w:fill="FFE599" w:themeFill="accent4" w:themeFillTint="66"/>
          </w:tcPr>
          <w:p w14:paraId="356FDF41" w14:textId="12FB112B" w:rsidR="00684191" w:rsidRDefault="00684191" w:rsidP="00684191">
            <w:pPr>
              <w:spacing w:after="200"/>
            </w:pPr>
            <w:r w:rsidRPr="009232C4">
              <w:t>(</w:t>
            </w:r>
            <w:r>
              <w:t>7) Right to Confidentiality – mirrors 42 CFR Part Two requirements</w:t>
            </w:r>
          </w:p>
        </w:tc>
        <w:tc>
          <w:tcPr>
            <w:tcW w:w="3653" w:type="dxa"/>
            <w:tcBorders>
              <w:top w:val="single" w:sz="18" w:space="0" w:color="auto"/>
            </w:tcBorders>
            <w:shd w:val="clear" w:color="auto" w:fill="FFE599" w:themeFill="accent4" w:themeFillTint="66"/>
          </w:tcPr>
          <w:p w14:paraId="1FD48DDE" w14:textId="39CBC021" w:rsidR="00684191" w:rsidRDefault="00684191" w:rsidP="00684191">
            <w:pPr>
              <w:spacing w:after="200"/>
            </w:pPr>
            <w:r>
              <w:t>Section 1k.2 – policies on confidentiality and privacy</w:t>
            </w:r>
          </w:p>
        </w:tc>
        <w:tc>
          <w:tcPr>
            <w:tcW w:w="3653" w:type="dxa"/>
            <w:tcBorders>
              <w:top w:val="single" w:sz="18" w:space="0" w:color="auto"/>
            </w:tcBorders>
            <w:shd w:val="clear" w:color="auto" w:fill="FFE599" w:themeFill="accent4" w:themeFillTint="66"/>
          </w:tcPr>
          <w:p w14:paraId="38533B8A" w14:textId="5771D845" w:rsidR="00684191" w:rsidRDefault="00684191" w:rsidP="00684191">
            <w:pPr>
              <w:spacing w:after="200"/>
            </w:pPr>
            <w:r>
              <w:t xml:space="preserve">Right to confidentiality and privacy </w:t>
            </w:r>
          </w:p>
        </w:tc>
      </w:tr>
      <w:tr w:rsidR="00684191" w14:paraId="4D990BB1" w14:textId="77777777" w:rsidTr="001E6B20">
        <w:tc>
          <w:tcPr>
            <w:tcW w:w="3653" w:type="dxa"/>
            <w:shd w:val="clear" w:color="auto" w:fill="BFBFBF" w:themeFill="background1" w:themeFillShade="BF"/>
          </w:tcPr>
          <w:p w14:paraId="1F3F09EA" w14:textId="77777777" w:rsidR="00684191" w:rsidRDefault="00684191" w:rsidP="00684191">
            <w:pPr>
              <w:spacing w:after="200"/>
            </w:pPr>
          </w:p>
        </w:tc>
        <w:tc>
          <w:tcPr>
            <w:tcW w:w="3653" w:type="dxa"/>
            <w:shd w:val="clear" w:color="auto" w:fill="BFBFBF" w:themeFill="background1" w:themeFillShade="BF"/>
          </w:tcPr>
          <w:p w14:paraId="506C28CE" w14:textId="77777777" w:rsidR="00684191" w:rsidRDefault="00684191" w:rsidP="00684191">
            <w:pPr>
              <w:spacing w:after="200"/>
            </w:pPr>
          </w:p>
        </w:tc>
        <w:tc>
          <w:tcPr>
            <w:tcW w:w="3653" w:type="dxa"/>
          </w:tcPr>
          <w:p w14:paraId="606635A9" w14:textId="5CC31997" w:rsidR="00684191" w:rsidRDefault="00684191" w:rsidP="00684191">
            <w:pPr>
              <w:spacing w:after="200"/>
            </w:pPr>
            <w:r>
              <w:t xml:space="preserve">Written consent for disclosure may only be given by minors, including to parents, legal guardians, or </w:t>
            </w:r>
            <w:r>
              <w:lastRenderedPageBreak/>
              <w:t>custodians of minors for purpose of financial reimbursement</w:t>
            </w:r>
          </w:p>
        </w:tc>
        <w:tc>
          <w:tcPr>
            <w:tcW w:w="3653" w:type="dxa"/>
            <w:shd w:val="clear" w:color="auto" w:fill="BFBFBF" w:themeFill="background1" w:themeFillShade="BF"/>
          </w:tcPr>
          <w:p w14:paraId="4C257188" w14:textId="24EFD569" w:rsidR="00684191" w:rsidRDefault="00684191" w:rsidP="00684191">
            <w:pPr>
              <w:spacing w:after="200"/>
            </w:pPr>
          </w:p>
        </w:tc>
        <w:tc>
          <w:tcPr>
            <w:tcW w:w="3653" w:type="dxa"/>
            <w:shd w:val="clear" w:color="auto" w:fill="BFBFBF" w:themeFill="background1" w:themeFillShade="BF"/>
          </w:tcPr>
          <w:p w14:paraId="53813FC7" w14:textId="77777777" w:rsidR="00684191" w:rsidRDefault="00684191" w:rsidP="00684191">
            <w:pPr>
              <w:spacing w:after="200"/>
            </w:pPr>
          </w:p>
        </w:tc>
      </w:tr>
      <w:tr w:rsidR="00684191" w14:paraId="7805AADC" w14:textId="77777777" w:rsidTr="001E6B20">
        <w:tc>
          <w:tcPr>
            <w:tcW w:w="3653" w:type="dxa"/>
            <w:shd w:val="clear" w:color="auto" w:fill="BFBFBF" w:themeFill="background1" w:themeFillShade="BF"/>
          </w:tcPr>
          <w:p w14:paraId="57C48326" w14:textId="77777777" w:rsidR="00684191" w:rsidRDefault="00684191" w:rsidP="00684191">
            <w:pPr>
              <w:spacing w:after="200"/>
            </w:pPr>
          </w:p>
        </w:tc>
        <w:tc>
          <w:tcPr>
            <w:tcW w:w="3653" w:type="dxa"/>
            <w:shd w:val="clear" w:color="auto" w:fill="BFBFBF" w:themeFill="background1" w:themeFillShade="BF"/>
          </w:tcPr>
          <w:p w14:paraId="28E8275E" w14:textId="77777777" w:rsidR="00684191" w:rsidRDefault="00684191" w:rsidP="00684191">
            <w:pPr>
              <w:spacing w:after="200"/>
            </w:pPr>
          </w:p>
        </w:tc>
        <w:tc>
          <w:tcPr>
            <w:tcW w:w="3653" w:type="dxa"/>
          </w:tcPr>
          <w:p w14:paraId="6D3AFD77" w14:textId="097029AF" w:rsidR="00684191" w:rsidRDefault="00684191" w:rsidP="00684191">
            <w:pPr>
              <w:spacing w:after="200"/>
            </w:pPr>
            <w:r>
              <w:t>If law requires parental consent for treatment, than consent for disclosure must be given by parent and minor</w:t>
            </w:r>
          </w:p>
        </w:tc>
        <w:tc>
          <w:tcPr>
            <w:tcW w:w="3653" w:type="dxa"/>
            <w:shd w:val="clear" w:color="auto" w:fill="BFBFBF" w:themeFill="background1" w:themeFillShade="BF"/>
          </w:tcPr>
          <w:p w14:paraId="0B1AA08A" w14:textId="77777777" w:rsidR="00684191" w:rsidRDefault="00684191" w:rsidP="00684191">
            <w:pPr>
              <w:spacing w:after="200"/>
            </w:pPr>
          </w:p>
        </w:tc>
        <w:tc>
          <w:tcPr>
            <w:tcW w:w="3653" w:type="dxa"/>
            <w:shd w:val="clear" w:color="auto" w:fill="BFBFBF" w:themeFill="background1" w:themeFillShade="BF"/>
          </w:tcPr>
          <w:p w14:paraId="178D8D9A" w14:textId="77777777" w:rsidR="00684191" w:rsidRDefault="00684191" w:rsidP="00684191">
            <w:pPr>
              <w:spacing w:after="200"/>
            </w:pPr>
          </w:p>
        </w:tc>
      </w:tr>
      <w:tr w:rsidR="00684191" w14:paraId="23543A04" w14:textId="77777777" w:rsidTr="001E6B20">
        <w:tc>
          <w:tcPr>
            <w:tcW w:w="3653" w:type="dxa"/>
            <w:shd w:val="clear" w:color="auto" w:fill="BFBFBF" w:themeFill="background1" w:themeFillShade="BF"/>
          </w:tcPr>
          <w:p w14:paraId="18E616D0" w14:textId="77777777" w:rsidR="00684191" w:rsidRDefault="00684191" w:rsidP="00684191">
            <w:pPr>
              <w:spacing w:after="200"/>
            </w:pPr>
          </w:p>
        </w:tc>
        <w:tc>
          <w:tcPr>
            <w:tcW w:w="3653" w:type="dxa"/>
            <w:shd w:val="clear" w:color="auto" w:fill="BFBFBF" w:themeFill="background1" w:themeFillShade="BF"/>
          </w:tcPr>
          <w:p w14:paraId="4E05F610" w14:textId="77777777" w:rsidR="00684191" w:rsidRDefault="00684191" w:rsidP="00684191">
            <w:pPr>
              <w:spacing w:after="200"/>
            </w:pPr>
          </w:p>
        </w:tc>
        <w:tc>
          <w:tcPr>
            <w:tcW w:w="3653" w:type="dxa"/>
          </w:tcPr>
          <w:p w14:paraId="55BDAF1C" w14:textId="2EFBDC2B" w:rsidR="00684191" w:rsidRDefault="00684191" w:rsidP="00684191">
            <w:pPr>
              <w:spacing w:after="200"/>
            </w:pPr>
            <w:r>
              <w:t>Court may authorize disclosure for purpose of conducting criminal investigation or prosecution if crime is “extremely serious,” reasonable likelihood that records will disclose valuable information in investigation, no other ways of obtaining information, and public interest outweighs potential injury to individual or treatment relationship</w:t>
            </w:r>
          </w:p>
        </w:tc>
        <w:tc>
          <w:tcPr>
            <w:tcW w:w="3653" w:type="dxa"/>
          </w:tcPr>
          <w:p w14:paraId="68F3A334" w14:textId="6BA76105" w:rsidR="00684191" w:rsidRDefault="00684191" w:rsidP="00684191">
            <w:pPr>
              <w:spacing w:after="200"/>
            </w:pPr>
            <w:r>
              <w:t>Section 1e.2 – Policies and procedures to respond to legal request for information, including subpoena, court order, investigations.</w:t>
            </w:r>
          </w:p>
        </w:tc>
        <w:tc>
          <w:tcPr>
            <w:tcW w:w="3653" w:type="dxa"/>
          </w:tcPr>
          <w:p w14:paraId="65C90084" w14:textId="367A18E7" w:rsidR="00684191" w:rsidRDefault="00684191" w:rsidP="00684191">
            <w:pPr>
              <w:spacing w:after="200"/>
            </w:pPr>
            <w:r>
              <w:t>Request courts withdraw orders or limit orders narrowly as possible and maintain records under seal, unavailable for public inspection</w:t>
            </w:r>
          </w:p>
        </w:tc>
      </w:tr>
      <w:tr w:rsidR="00684191" w14:paraId="01B3A710" w14:textId="77777777" w:rsidTr="001E6B20">
        <w:tc>
          <w:tcPr>
            <w:tcW w:w="3653" w:type="dxa"/>
            <w:shd w:val="clear" w:color="auto" w:fill="BFBFBF" w:themeFill="background1" w:themeFillShade="BF"/>
          </w:tcPr>
          <w:p w14:paraId="1B44187E" w14:textId="77777777" w:rsidR="00684191" w:rsidRDefault="00684191" w:rsidP="00684191">
            <w:pPr>
              <w:spacing w:after="200"/>
            </w:pPr>
          </w:p>
        </w:tc>
        <w:tc>
          <w:tcPr>
            <w:tcW w:w="3653" w:type="dxa"/>
            <w:shd w:val="clear" w:color="auto" w:fill="BFBFBF" w:themeFill="background1" w:themeFillShade="BF"/>
          </w:tcPr>
          <w:p w14:paraId="1E6C623B" w14:textId="77777777" w:rsidR="00684191" w:rsidRDefault="00684191" w:rsidP="00684191">
            <w:pPr>
              <w:spacing w:after="200"/>
            </w:pPr>
          </w:p>
        </w:tc>
        <w:tc>
          <w:tcPr>
            <w:tcW w:w="3653" w:type="dxa"/>
            <w:shd w:val="clear" w:color="auto" w:fill="BFBFBF" w:themeFill="background1" w:themeFillShade="BF"/>
          </w:tcPr>
          <w:p w14:paraId="3F013DB6" w14:textId="77777777" w:rsidR="00684191" w:rsidRDefault="00684191" w:rsidP="00684191">
            <w:pPr>
              <w:spacing w:after="200"/>
            </w:pPr>
          </w:p>
        </w:tc>
        <w:tc>
          <w:tcPr>
            <w:tcW w:w="3653" w:type="dxa"/>
            <w:shd w:val="clear" w:color="auto" w:fill="auto"/>
          </w:tcPr>
          <w:p w14:paraId="2DA94583" w14:textId="0C74A21A" w:rsidR="00684191" w:rsidRDefault="00684191" w:rsidP="00684191">
            <w:pPr>
              <w:spacing w:after="200"/>
            </w:pPr>
            <w:r>
              <w:t>Section 1e.3, 2g.1 -  Policies on information that can be disclosed, records management</w:t>
            </w:r>
          </w:p>
        </w:tc>
        <w:tc>
          <w:tcPr>
            <w:tcW w:w="3653" w:type="dxa"/>
          </w:tcPr>
          <w:p w14:paraId="51DC76A0" w14:textId="77777777" w:rsidR="00684191" w:rsidRDefault="00684191" w:rsidP="00684191">
            <w:pPr>
              <w:spacing w:after="200"/>
            </w:pPr>
          </w:p>
        </w:tc>
      </w:tr>
      <w:tr w:rsidR="00684191" w14:paraId="7880FE65" w14:textId="77777777" w:rsidTr="001E6B20">
        <w:tc>
          <w:tcPr>
            <w:tcW w:w="3653" w:type="dxa"/>
            <w:shd w:val="clear" w:color="auto" w:fill="BFBFBF" w:themeFill="background1" w:themeFillShade="BF"/>
          </w:tcPr>
          <w:p w14:paraId="154F1245" w14:textId="77777777" w:rsidR="00684191" w:rsidRDefault="00684191" w:rsidP="00684191">
            <w:pPr>
              <w:spacing w:after="200"/>
            </w:pPr>
          </w:p>
        </w:tc>
        <w:tc>
          <w:tcPr>
            <w:tcW w:w="3653" w:type="dxa"/>
            <w:shd w:val="clear" w:color="auto" w:fill="BFBFBF" w:themeFill="background1" w:themeFillShade="BF"/>
          </w:tcPr>
          <w:p w14:paraId="157CA99A" w14:textId="77777777" w:rsidR="00684191" w:rsidRDefault="00684191" w:rsidP="00684191">
            <w:pPr>
              <w:spacing w:after="200"/>
            </w:pPr>
          </w:p>
        </w:tc>
        <w:tc>
          <w:tcPr>
            <w:tcW w:w="3653" w:type="dxa"/>
            <w:shd w:val="clear" w:color="auto" w:fill="BFBFBF" w:themeFill="background1" w:themeFillShade="BF"/>
          </w:tcPr>
          <w:p w14:paraId="6A8325D3" w14:textId="77777777" w:rsidR="00684191" w:rsidRDefault="00684191" w:rsidP="00684191">
            <w:pPr>
              <w:spacing w:after="200"/>
            </w:pPr>
          </w:p>
        </w:tc>
        <w:tc>
          <w:tcPr>
            <w:tcW w:w="3653" w:type="dxa"/>
            <w:shd w:val="clear" w:color="auto" w:fill="auto"/>
          </w:tcPr>
          <w:p w14:paraId="444F0849" w14:textId="5016AAF8" w:rsidR="00684191" w:rsidRDefault="00684191" w:rsidP="00684191">
            <w:pPr>
              <w:spacing w:after="200"/>
            </w:pPr>
            <w:r>
              <w:t>Section 1k.2 - Access to own records</w:t>
            </w:r>
          </w:p>
        </w:tc>
        <w:tc>
          <w:tcPr>
            <w:tcW w:w="3653" w:type="dxa"/>
          </w:tcPr>
          <w:p w14:paraId="40B360DD" w14:textId="77777777" w:rsidR="00684191" w:rsidRDefault="00684191" w:rsidP="00684191">
            <w:pPr>
              <w:spacing w:after="200"/>
            </w:pPr>
            <w:r>
              <w:t>Access to Records</w:t>
            </w:r>
          </w:p>
          <w:p w14:paraId="26FDC34B" w14:textId="0FFACB55" w:rsidR="00AF02CA" w:rsidRDefault="00AF02CA" w:rsidP="00684191">
            <w:pPr>
              <w:spacing w:after="200"/>
            </w:pPr>
          </w:p>
        </w:tc>
      </w:tr>
      <w:tr w:rsidR="00684191" w14:paraId="01962DC2" w14:textId="77777777" w:rsidTr="001E6B20">
        <w:tc>
          <w:tcPr>
            <w:tcW w:w="3653" w:type="dxa"/>
            <w:tcBorders>
              <w:bottom w:val="single" w:sz="18" w:space="0" w:color="auto"/>
            </w:tcBorders>
            <w:shd w:val="clear" w:color="auto" w:fill="BFBFBF" w:themeFill="background1" w:themeFillShade="BF"/>
          </w:tcPr>
          <w:p w14:paraId="445975C6" w14:textId="77777777" w:rsidR="00684191" w:rsidRDefault="00684191" w:rsidP="00684191">
            <w:pPr>
              <w:spacing w:after="200"/>
            </w:pPr>
          </w:p>
        </w:tc>
        <w:tc>
          <w:tcPr>
            <w:tcW w:w="3653" w:type="dxa"/>
            <w:tcBorders>
              <w:bottom w:val="single" w:sz="18" w:space="0" w:color="auto"/>
            </w:tcBorders>
            <w:shd w:val="clear" w:color="auto" w:fill="BFBFBF" w:themeFill="background1" w:themeFillShade="BF"/>
          </w:tcPr>
          <w:p w14:paraId="370810E3" w14:textId="77777777" w:rsidR="00684191" w:rsidRDefault="00684191" w:rsidP="00684191">
            <w:pPr>
              <w:spacing w:after="200"/>
            </w:pPr>
          </w:p>
        </w:tc>
        <w:tc>
          <w:tcPr>
            <w:tcW w:w="3653" w:type="dxa"/>
            <w:tcBorders>
              <w:bottom w:val="single" w:sz="18" w:space="0" w:color="auto"/>
            </w:tcBorders>
            <w:shd w:val="clear" w:color="auto" w:fill="BFBFBF" w:themeFill="background1" w:themeFillShade="BF"/>
          </w:tcPr>
          <w:p w14:paraId="4B7C93C7" w14:textId="77777777" w:rsidR="00684191" w:rsidRDefault="00684191" w:rsidP="00684191">
            <w:pPr>
              <w:spacing w:after="200"/>
            </w:pPr>
          </w:p>
        </w:tc>
        <w:tc>
          <w:tcPr>
            <w:tcW w:w="3653" w:type="dxa"/>
            <w:tcBorders>
              <w:bottom w:val="single" w:sz="18" w:space="0" w:color="auto"/>
            </w:tcBorders>
            <w:shd w:val="clear" w:color="auto" w:fill="BFBFBF" w:themeFill="background1" w:themeFillShade="BF"/>
          </w:tcPr>
          <w:p w14:paraId="053E25CB" w14:textId="2627633C" w:rsidR="00684191" w:rsidRDefault="00684191" w:rsidP="00684191">
            <w:pPr>
              <w:spacing w:after="200"/>
            </w:pPr>
          </w:p>
        </w:tc>
        <w:tc>
          <w:tcPr>
            <w:tcW w:w="3653" w:type="dxa"/>
            <w:tcBorders>
              <w:bottom w:val="single" w:sz="18" w:space="0" w:color="auto"/>
            </w:tcBorders>
          </w:tcPr>
          <w:p w14:paraId="42F689E6" w14:textId="77777777" w:rsidR="00684191" w:rsidRDefault="00684191" w:rsidP="00684191">
            <w:pPr>
              <w:spacing w:after="200"/>
            </w:pPr>
            <w:r>
              <w:t>Clearly address confidentiality of information when working with couples, families, or groups</w:t>
            </w:r>
          </w:p>
          <w:p w14:paraId="3C3C90D2" w14:textId="635529BD" w:rsidR="00684191" w:rsidRDefault="00684191" w:rsidP="00684191">
            <w:pPr>
              <w:spacing w:after="200"/>
            </w:pPr>
          </w:p>
        </w:tc>
      </w:tr>
      <w:tr w:rsidR="00684191" w14:paraId="29EC05C0" w14:textId="77777777" w:rsidTr="001E6B20">
        <w:tc>
          <w:tcPr>
            <w:tcW w:w="3653" w:type="dxa"/>
            <w:tcBorders>
              <w:top w:val="single" w:sz="18" w:space="0" w:color="auto"/>
              <w:bottom w:val="single" w:sz="18" w:space="0" w:color="auto"/>
            </w:tcBorders>
            <w:shd w:val="clear" w:color="auto" w:fill="FFE599" w:themeFill="accent4" w:themeFillTint="66"/>
          </w:tcPr>
          <w:p w14:paraId="7BB299D5" w14:textId="730EC3CC" w:rsidR="00684191" w:rsidRDefault="00684191" w:rsidP="00684191">
            <w:pPr>
              <w:spacing w:after="200"/>
            </w:pPr>
          </w:p>
        </w:tc>
        <w:tc>
          <w:tcPr>
            <w:tcW w:w="3653" w:type="dxa"/>
            <w:tcBorders>
              <w:top w:val="single" w:sz="18" w:space="0" w:color="auto"/>
              <w:bottom w:val="single" w:sz="18" w:space="0" w:color="auto"/>
            </w:tcBorders>
            <w:shd w:val="clear" w:color="auto" w:fill="FFE599" w:themeFill="accent4" w:themeFillTint="66"/>
          </w:tcPr>
          <w:p w14:paraId="0DC47485" w14:textId="77777777" w:rsidR="00684191" w:rsidRDefault="00684191" w:rsidP="00684191">
            <w:pPr>
              <w:spacing w:after="200"/>
            </w:pPr>
          </w:p>
        </w:tc>
        <w:tc>
          <w:tcPr>
            <w:tcW w:w="3653" w:type="dxa"/>
            <w:tcBorders>
              <w:top w:val="single" w:sz="18" w:space="0" w:color="auto"/>
              <w:bottom w:val="single" w:sz="18" w:space="0" w:color="auto"/>
            </w:tcBorders>
            <w:shd w:val="clear" w:color="auto" w:fill="FFE599" w:themeFill="accent4" w:themeFillTint="66"/>
          </w:tcPr>
          <w:p w14:paraId="07150397" w14:textId="77777777" w:rsidR="00684191" w:rsidRDefault="00684191" w:rsidP="00684191">
            <w:pPr>
              <w:spacing w:after="200"/>
            </w:pPr>
            <w:r>
              <w:t>(8) Right to Counsel; for any involuntary proceeding for assessment, stabilization, or treatment, may be court appointed if client cannot afford attorney</w:t>
            </w:r>
          </w:p>
          <w:p w14:paraId="44B6DAC6" w14:textId="078A7452" w:rsidR="00684191" w:rsidRDefault="00684191" w:rsidP="00684191">
            <w:pPr>
              <w:spacing w:after="200"/>
            </w:pPr>
          </w:p>
        </w:tc>
        <w:tc>
          <w:tcPr>
            <w:tcW w:w="3653" w:type="dxa"/>
            <w:tcBorders>
              <w:top w:val="single" w:sz="18" w:space="0" w:color="auto"/>
              <w:bottom w:val="single" w:sz="18" w:space="0" w:color="auto"/>
            </w:tcBorders>
            <w:shd w:val="clear" w:color="auto" w:fill="BFBFBF" w:themeFill="background1" w:themeFillShade="BF"/>
          </w:tcPr>
          <w:p w14:paraId="35F3AA35" w14:textId="77777777" w:rsidR="00684191" w:rsidRDefault="00684191" w:rsidP="00684191">
            <w:pPr>
              <w:spacing w:after="200"/>
            </w:pPr>
          </w:p>
        </w:tc>
        <w:tc>
          <w:tcPr>
            <w:tcW w:w="3653" w:type="dxa"/>
            <w:tcBorders>
              <w:top w:val="single" w:sz="18" w:space="0" w:color="auto"/>
              <w:bottom w:val="single" w:sz="18" w:space="0" w:color="auto"/>
            </w:tcBorders>
            <w:shd w:val="clear" w:color="auto" w:fill="BFBFBF" w:themeFill="background1" w:themeFillShade="BF"/>
          </w:tcPr>
          <w:p w14:paraId="5FD589A5" w14:textId="640838FC" w:rsidR="00684191" w:rsidRDefault="00684191" w:rsidP="00684191">
            <w:pPr>
              <w:spacing w:after="200"/>
            </w:pPr>
          </w:p>
        </w:tc>
      </w:tr>
      <w:tr w:rsidR="00684191" w14:paraId="7968DF97" w14:textId="77777777" w:rsidTr="001E6B20">
        <w:tc>
          <w:tcPr>
            <w:tcW w:w="3653" w:type="dxa"/>
            <w:tcBorders>
              <w:top w:val="single" w:sz="18" w:space="0" w:color="auto"/>
              <w:bottom w:val="single" w:sz="18" w:space="0" w:color="auto"/>
            </w:tcBorders>
            <w:shd w:val="clear" w:color="auto" w:fill="FFE599" w:themeFill="accent4" w:themeFillTint="66"/>
          </w:tcPr>
          <w:p w14:paraId="552B7E9D" w14:textId="298066BF" w:rsidR="00684191" w:rsidRDefault="00684191" w:rsidP="00684191">
            <w:pPr>
              <w:spacing w:after="200"/>
            </w:pPr>
            <w:r>
              <w:t>(9) Habeas Corpus</w:t>
            </w:r>
          </w:p>
        </w:tc>
        <w:tc>
          <w:tcPr>
            <w:tcW w:w="3653" w:type="dxa"/>
            <w:tcBorders>
              <w:top w:val="single" w:sz="18" w:space="0" w:color="auto"/>
              <w:bottom w:val="single" w:sz="18" w:space="0" w:color="auto"/>
            </w:tcBorders>
            <w:shd w:val="clear" w:color="auto" w:fill="FFE599" w:themeFill="accent4" w:themeFillTint="66"/>
          </w:tcPr>
          <w:p w14:paraId="5049337A" w14:textId="2EA154C9" w:rsidR="00684191" w:rsidRDefault="00684191" w:rsidP="00684191">
            <w:pPr>
              <w:spacing w:after="200"/>
            </w:pPr>
            <w:r>
              <w:t>(8) Habeas Corpus</w:t>
            </w:r>
          </w:p>
        </w:tc>
        <w:tc>
          <w:tcPr>
            <w:tcW w:w="3653" w:type="dxa"/>
            <w:tcBorders>
              <w:top w:val="single" w:sz="18" w:space="0" w:color="auto"/>
              <w:bottom w:val="single" w:sz="18" w:space="0" w:color="auto"/>
            </w:tcBorders>
            <w:shd w:val="clear" w:color="auto" w:fill="FFE599" w:themeFill="accent4" w:themeFillTint="66"/>
          </w:tcPr>
          <w:p w14:paraId="4C3772D3" w14:textId="77777777" w:rsidR="00684191" w:rsidRDefault="00684191" w:rsidP="00684191">
            <w:pPr>
              <w:spacing w:after="200"/>
            </w:pPr>
            <w:r>
              <w:t>(9) Right to Habeas Corpus</w:t>
            </w:r>
          </w:p>
          <w:p w14:paraId="2348BA2C" w14:textId="5836F027" w:rsidR="00684191" w:rsidRDefault="00684191" w:rsidP="00684191">
            <w:pPr>
              <w:spacing w:after="200"/>
            </w:pPr>
          </w:p>
        </w:tc>
        <w:tc>
          <w:tcPr>
            <w:tcW w:w="3653" w:type="dxa"/>
            <w:tcBorders>
              <w:top w:val="single" w:sz="18" w:space="0" w:color="auto"/>
              <w:bottom w:val="single" w:sz="18" w:space="0" w:color="auto"/>
            </w:tcBorders>
            <w:shd w:val="clear" w:color="auto" w:fill="FFE599" w:themeFill="accent4" w:themeFillTint="66"/>
          </w:tcPr>
          <w:p w14:paraId="79CB883E" w14:textId="23854A55" w:rsidR="00684191" w:rsidRDefault="00684191" w:rsidP="00684191">
            <w:pPr>
              <w:spacing w:after="200"/>
            </w:pPr>
          </w:p>
        </w:tc>
        <w:tc>
          <w:tcPr>
            <w:tcW w:w="3653" w:type="dxa"/>
            <w:tcBorders>
              <w:top w:val="single" w:sz="18" w:space="0" w:color="auto"/>
              <w:bottom w:val="single" w:sz="18" w:space="0" w:color="auto"/>
            </w:tcBorders>
            <w:shd w:val="clear" w:color="auto" w:fill="FFE599" w:themeFill="accent4" w:themeFillTint="66"/>
          </w:tcPr>
          <w:p w14:paraId="1036AF6F" w14:textId="42E1BEBE" w:rsidR="00684191" w:rsidRDefault="00684191" w:rsidP="00684191">
            <w:pPr>
              <w:spacing w:after="200"/>
            </w:pPr>
          </w:p>
        </w:tc>
      </w:tr>
      <w:tr w:rsidR="00684191" w14:paraId="6D6C0D48" w14:textId="77777777" w:rsidTr="001E6B20">
        <w:tc>
          <w:tcPr>
            <w:tcW w:w="3653" w:type="dxa"/>
            <w:tcBorders>
              <w:top w:val="single" w:sz="18" w:space="0" w:color="auto"/>
              <w:bottom w:val="single" w:sz="18" w:space="0" w:color="auto"/>
            </w:tcBorders>
            <w:shd w:val="clear" w:color="auto" w:fill="FFE599" w:themeFill="accent4" w:themeFillTint="66"/>
          </w:tcPr>
          <w:p w14:paraId="59D9FC2B" w14:textId="1AF5BC5C" w:rsidR="00684191" w:rsidRDefault="00684191" w:rsidP="00684191">
            <w:pPr>
              <w:spacing w:after="200"/>
            </w:pPr>
            <w:r>
              <w:t>(10) Violations - requires DCF to report violations of rights by facilities licensed by AHCA, AHCA may impose sanctions</w:t>
            </w:r>
          </w:p>
        </w:tc>
        <w:tc>
          <w:tcPr>
            <w:tcW w:w="3653" w:type="dxa"/>
            <w:tcBorders>
              <w:top w:val="single" w:sz="18" w:space="0" w:color="auto"/>
              <w:bottom w:val="single" w:sz="18" w:space="0" w:color="auto"/>
            </w:tcBorders>
            <w:shd w:val="clear" w:color="auto" w:fill="FFE599" w:themeFill="accent4" w:themeFillTint="66"/>
          </w:tcPr>
          <w:p w14:paraId="063CE09F" w14:textId="77777777" w:rsidR="00684191" w:rsidRDefault="00684191" w:rsidP="00684191">
            <w:pPr>
              <w:spacing w:after="200"/>
            </w:pPr>
            <w:r>
              <w:t>(9) Violations; requires DCF to report violations of rights by facilities licensed by AHCA, AHCA may impose sanctions</w:t>
            </w:r>
          </w:p>
          <w:p w14:paraId="4756AA34" w14:textId="7E3E7224" w:rsidR="00684191" w:rsidRDefault="00684191" w:rsidP="00684191">
            <w:pPr>
              <w:spacing w:after="200"/>
            </w:pPr>
          </w:p>
        </w:tc>
        <w:tc>
          <w:tcPr>
            <w:tcW w:w="3653" w:type="dxa"/>
            <w:tcBorders>
              <w:top w:val="single" w:sz="18" w:space="0" w:color="auto"/>
              <w:bottom w:val="single" w:sz="18" w:space="0" w:color="auto"/>
            </w:tcBorders>
            <w:shd w:val="clear" w:color="auto" w:fill="BFBFBF" w:themeFill="background1" w:themeFillShade="BF"/>
          </w:tcPr>
          <w:p w14:paraId="62CC5A97" w14:textId="7588FE46" w:rsidR="00684191" w:rsidRDefault="00684191" w:rsidP="00684191">
            <w:pPr>
              <w:spacing w:after="200"/>
            </w:pPr>
          </w:p>
        </w:tc>
        <w:tc>
          <w:tcPr>
            <w:tcW w:w="3653" w:type="dxa"/>
            <w:tcBorders>
              <w:top w:val="single" w:sz="18" w:space="0" w:color="auto"/>
              <w:bottom w:val="single" w:sz="18" w:space="0" w:color="auto"/>
            </w:tcBorders>
            <w:shd w:val="clear" w:color="auto" w:fill="BFBFBF" w:themeFill="background1" w:themeFillShade="BF"/>
          </w:tcPr>
          <w:p w14:paraId="541F4269" w14:textId="377D84EE" w:rsidR="00684191" w:rsidRDefault="00684191" w:rsidP="00684191">
            <w:pPr>
              <w:spacing w:after="200"/>
            </w:pPr>
          </w:p>
        </w:tc>
        <w:tc>
          <w:tcPr>
            <w:tcW w:w="3653" w:type="dxa"/>
            <w:tcBorders>
              <w:top w:val="single" w:sz="18" w:space="0" w:color="auto"/>
              <w:bottom w:val="single" w:sz="18" w:space="0" w:color="auto"/>
            </w:tcBorders>
            <w:shd w:val="clear" w:color="auto" w:fill="BFBFBF" w:themeFill="background1" w:themeFillShade="BF"/>
          </w:tcPr>
          <w:p w14:paraId="4E439467" w14:textId="0B63CA0B" w:rsidR="00684191" w:rsidRDefault="00684191" w:rsidP="00684191">
            <w:pPr>
              <w:spacing w:after="200"/>
            </w:pPr>
          </w:p>
        </w:tc>
      </w:tr>
      <w:tr w:rsidR="00684191" w14:paraId="49BFE28A" w14:textId="77777777" w:rsidTr="001E6B20">
        <w:tc>
          <w:tcPr>
            <w:tcW w:w="3653" w:type="dxa"/>
            <w:tcBorders>
              <w:top w:val="single" w:sz="18" w:space="0" w:color="auto"/>
              <w:bottom w:val="single" w:sz="18" w:space="0" w:color="auto"/>
            </w:tcBorders>
            <w:shd w:val="clear" w:color="auto" w:fill="FFE599" w:themeFill="accent4" w:themeFillTint="66"/>
          </w:tcPr>
          <w:p w14:paraId="20C841B3" w14:textId="3DADC8D2" w:rsidR="00684191" w:rsidRDefault="00684191" w:rsidP="00684191">
            <w:pPr>
              <w:spacing w:after="200"/>
            </w:pPr>
            <w:r>
              <w:t>(11) Liability for Violations – service providers liable for violations or abuse, not for acting in good faith and without negligence</w:t>
            </w:r>
          </w:p>
        </w:tc>
        <w:tc>
          <w:tcPr>
            <w:tcW w:w="3653" w:type="dxa"/>
            <w:tcBorders>
              <w:top w:val="single" w:sz="18" w:space="0" w:color="auto"/>
              <w:bottom w:val="single" w:sz="18" w:space="0" w:color="auto"/>
            </w:tcBorders>
            <w:shd w:val="clear" w:color="auto" w:fill="FFE599" w:themeFill="accent4" w:themeFillTint="66"/>
          </w:tcPr>
          <w:p w14:paraId="6881F0AD" w14:textId="77777777" w:rsidR="00684191" w:rsidRDefault="00684191" w:rsidP="00684191">
            <w:pPr>
              <w:spacing w:after="200"/>
            </w:pPr>
            <w:r>
              <w:t>(10) Liability for Violations – service providers liable for violations or abuse, not for acting in good faith and without negligence</w:t>
            </w:r>
          </w:p>
          <w:p w14:paraId="40DC20EA" w14:textId="3CADC816" w:rsidR="00684191" w:rsidRDefault="00684191" w:rsidP="00684191">
            <w:pPr>
              <w:spacing w:after="200"/>
            </w:pPr>
          </w:p>
        </w:tc>
        <w:tc>
          <w:tcPr>
            <w:tcW w:w="3653" w:type="dxa"/>
            <w:tcBorders>
              <w:top w:val="single" w:sz="18" w:space="0" w:color="auto"/>
              <w:bottom w:val="single" w:sz="18" w:space="0" w:color="auto"/>
            </w:tcBorders>
            <w:shd w:val="clear" w:color="auto" w:fill="FFE599" w:themeFill="accent4" w:themeFillTint="66"/>
          </w:tcPr>
          <w:p w14:paraId="57E798C8" w14:textId="6E519294" w:rsidR="00684191" w:rsidRDefault="00684191" w:rsidP="00684191">
            <w:pPr>
              <w:spacing w:after="200"/>
            </w:pPr>
            <w:r>
              <w:t>(10) Liability and Immunity service providers - liable for violations or abuse, not for acting in good faith and without negligence</w:t>
            </w:r>
          </w:p>
        </w:tc>
        <w:tc>
          <w:tcPr>
            <w:tcW w:w="3653" w:type="dxa"/>
            <w:tcBorders>
              <w:top w:val="single" w:sz="18" w:space="0" w:color="auto"/>
            </w:tcBorders>
            <w:shd w:val="clear" w:color="auto" w:fill="BFBFBF" w:themeFill="background1" w:themeFillShade="BF"/>
          </w:tcPr>
          <w:p w14:paraId="4032B5EB" w14:textId="33FB711F" w:rsidR="00684191" w:rsidRDefault="00684191" w:rsidP="00684191">
            <w:pPr>
              <w:spacing w:after="200"/>
            </w:pPr>
          </w:p>
        </w:tc>
        <w:tc>
          <w:tcPr>
            <w:tcW w:w="3653" w:type="dxa"/>
            <w:tcBorders>
              <w:top w:val="single" w:sz="18" w:space="0" w:color="auto"/>
            </w:tcBorders>
            <w:shd w:val="clear" w:color="auto" w:fill="BFBFBF" w:themeFill="background1" w:themeFillShade="BF"/>
          </w:tcPr>
          <w:p w14:paraId="7479BFA0" w14:textId="7473DF24" w:rsidR="00684191" w:rsidRDefault="00684191" w:rsidP="00684191">
            <w:pPr>
              <w:spacing w:after="200"/>
            </w:pPr>
          </w:p>
        </w:tc>
      </w:tr>
      <w:tr w:rsidR="00684191" w14:paraId="6D820D24" w14:textId="77777777" w:rsidTr="001E6B20">
        <w:trPr>
          <w:trHeight w:val="1340"/>
        </w:trPr>
        <w:tc>
          <w:tcPr>
            <w:tcW w:w="3653" w:type="dxa"/>
            <w:tcBorders>
              <w:top w:val="single" w:sz="18" w:space="0" w:color="auto"/>
              <w:bottom w:val="single" w:sz="18" w:space="0" w:color="auto"/>
            </w:tcBorders>
            <w:shd w:val="clear" w:color="auto" w:fill="FFE599" w:themeFill="accent4" w:themeFillTint="66"/>
          </w:tcPr>
          <w:p w14:paraId="6D581DD9" w14:textId="007A3547" w:rsidR="00684191" w:rsidRDefault="00684191" w:rsidP="00684191">
            <w:pPr>
              <w:spacing w:after="200"/>
            </w:pPr>
            <w:r>
              <w:t>(12) Right to Participate in Treatment and Discharge Planning</w:t>
            </w:r>
          </w:p>
        </w:tc>
        <w:tc>
          <w:tcPr>
            <w:tcW w:w="3653" w:type="dxa"/>
            <w:tcBorders>
              <w:top w:val="single" w:sz="18" w:space="0" w:color="auto"/>
              <w:bottom w:val="single" w:sz="18" w:space="0" w:color="auto"/>
            </w:tcBorders>
            <w:shd w:val="clear" w:color="auto" w:fill="FFE599" w:themeFill="accent4" w:themeFillTint="66"/>
          </w:tcPr>
          <w:p w14:paraId="6162942F" w14:textId="6387A4E5" w:rsidR="00684191" w:rsidRDefault="00684191" w:rsidP="00684191">
            <w:pPr>
              <w:spacing w:after="200"/>
            </w:pPr>
            <w:r>
              <w:t>(11) Right to Participate in Treatment and Discharge Planning</w:t>
            </w:r>
          </w:p>
        </w:tc>
        <w:tc>
          <w:tcPr>
            <w:tcW w:w="3653" w:type="dxa"/>
            <w:tcBorders>
              <w:top w:val="single" w:sz="18" w:space="0" w:color="auto"/>
              <w:bottom w:val="single" w:sz="18" w:space="0" w:color="auto"/>
            </w:tcBorders>
            <w:shd w:val="clear" w:color="auto" w:fill="BFBFBF" w:themeFill="background1" w:themeFillShade="BF"/>
          </w:tcPr>
          <w:p w14:paraId="1DDBB6ED" w14:textId="15822727" w:rsidR="00684191" w:rsidRDefault="00684191" w:rsidP="00684191">
            <w:pPr>
              <w:spacing w:after="200"/>
            </w:pPr>
          </w:p>
        </w:tc>
        <w:tc>
          <w:tcPr>
            <w:tcW w:w="3653" w:type="dxa"/>
            <w:tcBorders>
              <w:top w:val="single" w:sz="18" w:space="0" w:color="auto"/>
              <w:bottom w:val="single" w:sz="18" w:space="0" w:color="auto"/>
            </w:tcBorders>
          </w:tcPr>
          <w:p w14:paraId="19064828" w14:textId="1931118A" w:rsidR="00684191" w:rsidRDefault="00684191" w:rsidP="00684191">
            <w:pPr>
              <w:spacing w:after="200"/>
            </w:pPr>
            <w:r>
              <w:t>2d.2, 3, &amp; 4 - Transition planning initiated with person served as soon as clinically appropriate</w:t>
            </w:r>
          </w:p>
        </w:tc>
        <w:tc>
          <w:tcPr>
            <w:tcW w:w="3653" w:type="dxa"/>
            <w:tcBorders>
              <w:top w:val="single" w:sz="18" w:space="0" w:color="auto"/>
              <w:bottom w:val="single" w:sz="18" w:space="0" w:color="auto"/>
            </w:tcBorders>
          </w:tcPr>
          <w:p w14:paraId="210AEE17" w14:textId="44F581C4" w:rsidR="00684191" w:rsidRDefault="00684191" w:rsidP="00684191">
            <w:pPr>
              <w:spacing w:after="200"/>
            </w:pPr>
            <w:r>
              <w:t>Right to know the policies and procedures for termination of services; termination of services when no longer necessary or effective; continuity of care</w:t>
            </w:r>
          </w:p>
        </w:tc>
      </w:tr>
      <w:tr w:rsidR="00684191" w14:paraId="1D8C0711" w14:textId="77777777" w:rsidTr="001E6B20">
        <w:tc>
          <w:tcPr>
            <w:tcW w:w="3653" w:type="dxa"/>
            <w:tcBorders>
              <w:top w:val="single" w:sz="18" w:space="0" w:color="auto"/>
              <w:bottom w:val="single" w:sz="18" w:space="0" w:color="auto"/>
            </w:tcBorders>
            <w:shd w:val="clear" w:color="auto" w:fill="FFE599" w:themeFill="accent4" w:themeFillTint="66"/>
          </w:tcPr>
          <w:p w14:paraId="5BFB1089" w14:textId="37B5A2FE" w:rsidR="00684191" w:rsidRDefault="00684191" w:rsidP="00684191">
            <w:pPr>
              <w:spacing w:after="200"/>
            </w:pPr>
            <w:r>
              <w:t xml:space="preserve">(13) Advance Directives – all service providers shall provide information </w:t>
            </w:r>
            <w:r>
              <w:lastRenderedPageBreak/>
              <w:t>concerning advance directives to individuals and assist those who are competent and willing to complete an advance directive. The directive may include instructions regarding mental health or substance abuse care. Service providers shall honor the advance directives of individuals they serve, or request the transfer of the individual to another provider.</w:t>
            </w:r>
          </w:p>
          <w:p w14:paraId="450776F3" w14:textId="0BA4D6DC" w:rsidR="00684191" w:rsidRDefault="00684191" w:rsidP="00684191">
            <w:pPr>
              <w:spacing w:after="200"/>
            </w:pPr>
          </w:p>
        </w:tc>
        <w:tc>
          <w:tcPr>
            <w:tcW w:w="3653" w:type="dxa"/>
            <w:tcBorders>
              <w:top w:val="single" w:sz="18" w:space="0" w:color="auto"/>
              <w:bottom w:val="single" w:sz="18" w:space="0" w:color="auto"/>
            </w:tcBorders>
            <w:shd w:val="clear" w:color="auto" w:fill="BFBFBF" w:themeFill="background1" w:themeFillShade="BF"/>
          </w:tcPr>
          <w:p w14:paraId="313F03FB" w14:textId="5A62B16D" w:rsidR="00684191" w:rsidRDefault="00684191" w:rsidP="00684191">
            <w:pPr>
              <w:spacing w:after="200"/>
            </w:pPr>
          </w:p>
        </w:tc>
        <w:tc>
          <w:tcPr>
            <w:tcW w:w="3653" w:type="dxa"/>
            <w:tcBorders>
              <w:top w:val="single" w:sz="18" w:space="0" w:color="auto"/>
              <w:bottom w:val="single" w:sz="18" w:space="0" w:color="auto"/>
            </w:tcBorders>
            <w:shd w:val="clear" w:color="auto" w:fill="BFBFBF" w:themeFill="background1" w:themeFillShade="BF"/>
          </w:tcPr>
          <w:p w14:paraId="59888F38" w14:textId="1283E8B3" w:rsidR="00684191" w:rsidRDefault="00684191" w:rsidP="00684191">
            <w:pPr>
              <w:spacing w:after="200"/>
            </w:pPr>
          </w:p>
        </w:tc>
        <w:tc>
          <w:tcPr>
            <w:tcW w:w="3653" w:type="dxa"/>
            <w:tcBorders>
              <w:top w:val="single" w:sz="18" w:space="0" w:color="auto"/>
              <w:bottom w:val="single" w:sz="18" w:space="0" w:color="auto"/>
            </w:tcBorders>
          </w:tcPr>
          <w:p w14:paraId="6BC71BD5" w14:textId="1AF18605" w:rsidR="00684191" w:rsidRDefault="00684191" w:rsidP="00684191">
            <w:pPr>
              <w:spacing w:after="200"/>
            </w:pPr>
            <w:r>
              <w:t xml:space="preserve">2f.7 - Personal safety plans for person </w:t>
            </w:r>
            <w:r>
              <w:lastRenderedPageBreak/>
              <w:t>served are readily available.</w:t>
            </w:r>
          </w:p>
        </w:tc>
        <w:tc>
          <w:tcPr>
            <w:tcW w:w="3653" w:type="dxa"/>
            <w:tcBorders>
              <w:top w:val="single" w:sz="18" w:space="0" w:color="auto"/>
              <w:bottom w:val="single" w:sz="18" w:space="0" w:color="auto"/>
            </w:tcBorders>
          </w:tcPr>
          <w:p w14:paraId="5083B4F6" w14:textId="070E5D01" w:rsidR="00684191" w:rsidRDefault="00684191" w:rsidP="00684191">
            <w:pPr>
              <w:spacing w:after="200"/>
            </w:pPr>
            <w:r>
              <w:lastRenderedPageBreak/>
              <w:t xml:space="preserve">Right to self-determination, limited only when actions or potential actions </w:t>
            </w:r>
            <w:r>
              <w:lastRenderedPageBreak/>
              <w:t>pose a serious, foreseeable, and imminent risk to self or others</w:t>
            </w:r>
          </w:p>
        </w:tc>
      </w:tr>
      <w:tr w:rsidR="00684191" w14:paraId="58474FFA" w14:textId="77777777" w:rsidTr="001E6B20">
        <w:tc>
          <w:tcPr>
            <w:tcW w:w="3653" w:type="dxa"/>
            <w:tcBorders>
              <w:top w:val="single" w:sz="18" w:space="0" w:color="auto"/>
            </w:tcBorders>
            <w:shd w:val="clear" w:color="auto" w:fill="FFE599" w:themeFill="accent4" w:themeFillTint="66"/>
          </w:tcPr>
          <w:p w14:paraId="08316B4B" w14:textId="4DD35C5C" w:rsidR="00684191" w:rsidRDefault="00684191" w:rsidP="00684191">
            <w:pPr>
              <w:spacing w:after="200"/>
            </w:pPr>
            <w:r>
              <w:lastRenderedPageBreak/>
              <w:t>(14) Posting of Notice of Rights of Patients - must include statement that ADA applies, name and phone number of contact person, phone numbers of local advocacy council and Advocacy Center for persons with disabilities.</w:t>
            </w:r>
          </w:p>
        </w:tc>
        <w:tc>
          <w:tcPr>
            <w:tcW w:w="3653" w:type="dxa"/>
            <w:tcBorders>
              <w:top w:val="single" w:sz="18" w:space="0" w:color="auto"/>
            </w:tcBorders>
            <w:shd w:val="clear" w:color="auto" w:fill="FFE599" w:themeFill="accent4" w:themeFillTint="66"/>
          </w:tcPr>
          <w:p w14:paraId="1FF7C94E" w14:textId="54AF58CE" w:rsidR="00684191" w:rsidRDefault="00684191" w:rsidP="00684191">
            <w:pPr>
              <w:spacing w:after="200"/>
            </w:pPr>
            <w:r>
              <w:t>12) Posting of Notice of Rights of Patients; must include statement that ADA applies, name and phone number of contact person, phone numbers of local advocacy council and Advocacy Center for persons with disabilities</w:t>
            </w:r>
          </w:p>
        </w:tc>
        <w:tc>
          <w:tcPr>
            <w:tcW w:w="3653" w:type="dxa"/>
            <w:tcBorders>
              <w:top w:val="single" w:sz="18" w:space="0" w:color="auto"/>
            </w:tcBorders>
            <w:shd w:val="clear" w:color="auto" w:fill="BFBFBF" w:themeFill="background1" w:themeFillShade="BF"/>
          </w:tcPr>
          <w:p w14:paraId="7FF27CAA" w14:textId="6BE63715" w:rsidR="00684191" w:rsidRDefault="00684191" w:rsidP="00684191">
            <w:pPr>
              <w:spacing w:after="200"/>
            </w:pPr>
          </w:p>
        </w:tc>
        <w:tc>
          <w:tcPr>
            <w:tcW w:w="3653" w:type="dxa"/>
            <w:tcBorders>
              <w:top w:val="single" w:sz="18" w:space="0" w:color="auto"/>
            </w:tcBorders>
          </w:tcPr>
          <w:p w14:paraId="2C9E054A" w14:textId="3D43CD9E" w:rsidR="00684191" w:rsidRDefault="00684191" w:rsidP="00684191">
            <w:pPr>
              <w:spacing w:after="200"/>
            </w:pPr>
            <w:r>
              <w:t>Section 1k.1 – Rights of persons served communicated in way that is understandable.</w:t>
            </w:r>
          </w:p>
        </w:tc>
        <w:tc>
          <w:tcPr>
            <w:tcW w:w="3653" w:type="dxa"/>
            <w:tcBorders>
              <w:top w:val="single" w:sz="18" w:space="0" w:color="auto"/>
            </w:tcBorders>
          </w:tcPr>
          <w:p w14:paraId="453DAD44" w14:textId="051A3920" w:rsidR="00684191" w:rsidRDefault="00684191" w:rsidP="00684191">
            <w:pPr>
              <w:spacing w:after="200"/>
            </w:pPr>
            <w:r>
              <w:t>Advise clients of rights and any limitations on those rights, e.g. abuse reporting, danger to self or others</w:t>
            </w:r>
          </w:p>
        </w:tc>
      </w:tr>
    </w:tbl>
    <w:p w14:paraId="034DAB13" w14:textId="77777777" w:rsidR="005B12A9" w:rsidRDefault="005B12A9" w:rsidP="00366447">
      <w:pPr>
        <w:spacing w:after="120"/>
      </w:pPr>
    </w:p>
    <w:sectPr w:rsidR="005B12A9" w:rsidSect="005B12A9">
      <w:footerReference w:type="default" r:id="rId8"/>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758D3" w14:textId="77777777" w:rsidR="00D74A0C" w:rsidRDefault="00D74A0C" w:rsidP="00D74A0C">
      <w:pPr>
        <w:spacing w:after="0" w:line="240" w:lineRule="auto"/>
      </w:pPr>
      <w:r>
        <w:separator/>
      </w:r>
    </w:p>
  </w:endnote>
  <w:endnote w:type="continuationSeparator" w:id="0">
    <w:p w14:paraId="4982D067" w14:textId="77777777" w:rsidR="00D74A0C" w:rsidRDefault="00D74A0C" w:rsidP="00D74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480790"/>
      <w:docPartObj>
        <w:docPartGallery w:val="Page Numbers (Bottom of Page)"/>
        <w:docPartUnique/>
      </w:docPartObj>
    </w:sdtPr>
    <w:sdtEndPr>
      <w:rPr>
        <w:noProof/>
      </w:rPr>
    </w:sdtEndPr>
    <w:sdtContent>
      <w:p w14:paraId="55911C0F" w14:textId="64ADD97B" w:rsidR="00D74A0C" w:rsidRDefault="00D74A0C">
        <w:pPr>
          <w:pStyle w:val="Footer"/>
          <w:jc w:val="right"/>
        </w:pPr>
        <w:r>
          <w:fldChar w:fldCharType="begin"/>
        </w:r>
        <w:r>
          <w:instrText xml:space="preserve"> PAGE   \* MERGEFORMAT </w:instrText>
        </w:r>
        <w:r>
          <w:fldChar w:fldCharType="separate"/>
        </w:r>
        <w:r w:rsidR="0085681E">
          <w:rPr>
            <w:noProof/>
          </w:rPr>
          <w:t>2</w:t>
        </w:r>
        <w:r>
          <w:rPr>
            <w:noProof/>
          </w:rPr>
          <w:fldChar w:fldCharType="end"/>
        </w:r>
      </w:p>
    </w:sdtContent>
  </w:sdt>
  <w:p w14:paraId="5544D4A1" w14:textId="77777777" w:rsidR="00D74A0C" w:rsidRDefault="00D74A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509CE" w14:textId="77777777" w:rsidR="00D74A0C" w:rsidRDefault="00D74A0C" w:rsidP="00D74A0C">
      <w:pPr>
        <w:spacing w:after="0" w:line="240" w:lineRule="auto"/>
      </w:pPr>
      <w:r>
        <w:separator/>
      </w:r>
    </w:p>
  </w:footnote>
  <w:footnote w:type="continuationSeparator" w:id="0">
    <w:p w14:paraId="39AC675F" w14:textId="77777777" w:rsidR="00D74A0C" w:rsidRDefault="00D74A0C" w:rsidP="00D74A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A9"/>
    <w:rsid w:val="00017A0C"/>
    <w:rsid w:val="000736A9"/>
    <w:rsid w:val="00080DD2"/>
    <w:rsid w:val="000A0640"/>
    <w:rsid w:val="000B023D"/>
    <w:rsid w:val="000F563A"/>
    <w:rsid w:val="0010789B"/>
    <w:rsid w:val="00125A28"/>
    <w:rsid w:val="001335D7"/>
    <w:rsid w:val="0013544F"/>
    <w:rsid w:val="00196F4D"/>
    <w:rsid w:val="001A2ECE"/>
    <w:rsid w:val="001E52E7"/>
    <w:rsid w:val="001E6B20"/>
    <w:rsid w:val="002407B1"/>
    <w:rsid w:val="002446A5"/>
    <w:rsid w:val="00362450"/>
    <w:rsid w:val="00366447"/>
    <w:rsid w:val="003906A4"/>
    <w:rsid w:val="003F632E"/>
    <w:rsid w:val="004A78B1"/>
    <w:rsid w:val="004E4925"/>
    <w:rsid w:val="005B12A9"/>
    <w:rsid w:val="0063365B"/>
    <w:rsid w:val="00684191"/>
    <w:rsid w:val="0069546D"/>
    <w:rsid w:val="007122E3"/>
    <w:rsid w:val="0077278E"/>
    <w:rsid w:val="00780A7B"/>
    <w:rsid w:val="007F62B9"/>
    <w:rsid w:val="00822C71"/>
    <w:rsid w:val="008253AC"/>
    <w:rsid w:val="0085268C"/>
    <w:rsid w:val="0085681E"/>
    <w:rsid w:val="008663DB"/>
    <w:rsid w:val="0089166E"/>
    <w:rsid w:val="008C2778"/>
    <w:rsid w:val="008E3354"/>
    <w:rsid w:val="009232C4"/>
    <w:rsid w:val="009364F2"/>
    <w:rsid w:val="00974970"/>
    <w:rsid w:val="00A021E5"/>
    <w:rsid w:val="00AA6CC2"/>
    <w:rsid w:val="00AF02CA"/>
    <w:rsid w:val="00B20342"/>
    <w:rsid w:val="00B418E2"/>
    <w:rsid w:val="00B43C84"/>
    <w:rsid w:val="00BD519C"/>
    <w:rsid w:val="00BF630D"/>
    <w:rsid w:val="00C0222E"/>
    <w:rsid w:val="00C07728"/>
    <w:rsid w:val="00C220B9"/>
    <w:rsid w:val="00CC0B54"/>
    <w:rsid w:val="00CE0F4F"/>
    <w:rsid w:val="00CF64C1"/>
    <w:rsid w:val="00D33825"/>
    <w:rsid w:val="00D43582"/>
    <w:rsid w:val="00D74A0C"/>
    <w:rsid w:val="00D855BF"/>
    <w:rsid w:val="00DF7777"/>
    <w:rsid w:val="00E00285"/>
    <w:rsid w:val="00E05D5C"/>
    <w:rsid w:val="00E17368"/>
    <w:rsid w:val="00E24225"/>
    <w:rsid w:val="00E276B3"/>
    <w:rsid w:val="00E45F64"/>
    <w:rsid w:val="00EA53B7"/>
    <w:rsid w:val="00ED2A51"/>
    <w:rsid w:val="00F07DE1"/>
    <w:rsid w:val="00F53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87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1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66E"/>
    <w:rPr>
      <w:rFonts w:ascii="Segoe UI" w:hAnsi="Segoe UI" w:cs="Segoe UI"/>
      <w:sz w:val="18"/>
      <w:szCs w:val="18"/>
    </w:rPr>
  </w:style>
  <w:style w:type="paragraph" w:styleId="Header">
    <w:name w:val="header"/>
    <w:basedOn w:val="Normal"/>
    <w:link w:val="HeaderChar"/>
    <w:uiPriority w:val="99"/>
    <w:unhideWhenUsed/>
    <w:rsid w:val="00D74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A0C"/>
  </w:style>
  <w:style w:type="paragraph" w:styleId="Footer">
    <w:name w:val="footer"/>
    <w:basedOn w:val="Normal"/>
    <w:link w:val="FooterChar"/>
    <w:uiPriority w:val="99"/>
    <w:unhideWhenUsed/>
    <w:rsid w:val="00D74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A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1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66E"/>
    <w:rPr>
      <w:rFonts w:ascii="Segoe UI" w:hAnsi="Segoe UI" w:cs="Segoe UI"/>
      <w:sz w:val="18"/>
      <w:szCs w:val="18"/>
    </w:rPr>
  </w:style>
  <w:style w:type="paragraph" w:styleId="Header">
    <w:name w:val="header"/>
    <w:basedOn w:val="Normal"/>
    <w:link w:val="HeaderChar"/>
    <w:uiPriority w:val="99"/>
    <w:unhideWhenUsed/>
    <w:rsid w:val="00D74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A0C"/>
  </w:style>
  <w:style w:type="paragraph" w:styleId="Footer">
    <w:name w:val="footer"/>
    <w:basedOn w:val="Normal"/>
    <w:link w:val="FooterChar"/>
    <w:uiPriority w:val="99"/>
    <w:unhideWhenUsed/>
    <w:rsid w:val="00D74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E91CD-6A0B-324F-8EEF-50798CC99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2977</Words>
  <Characters>16969</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Carali McLean</dc:creator>
  <cp:keywords/>
  <dc:description/>
  <cp:lastModifiedBy>Dawn Khalil</cp:lastModifiedBy>
  <cp:revision>2</cp:revision>
  <cp:lastPrinted>2015-06-19T12:56:00Z</cp:lastPrinted>
  <dcterms:created xsi:type="dcterms:W3CDTF">2015-09-21T17:03:00Z</dcterms:created>
  <dcterms:modified xsi:type="dcterms:W3CDTF">2015-09-21T17:03:00Z</dcterms:modified>
</cp:coreProperties>
</file>